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66A6" w:rsidRPr="00FA66A6" w:rsidRDefault="00FA66A6" w:rsidP="00617F0D">
      <w:pPr>
        <w:autoSpaceDN w:val="0"/>
        <w:spacing w:before="100" w:after="240" w:line="240" w:lineRule="exact"/>
        <w:textAlignment w:val="baseline"/>
        <w:rPr>
          <w:rFonts w:eastAsia="DejaVu Sans" w:cs="Lohit Hindi"/>
          <w:color w:val="000000"/>
          <w:szCs w:val="18"/>
          <w:lang w:val="nl-NL" w:eastAsia="nl-NL"/>
        </w:rPr>
      </w:pPr>
      <w:bookmarkStart w:id="0" w:name="_GoBack"/>
      <w:bookmarkEnd w:id="0"/>
      <w:r w:rsidRPr="00FA66A6">
        <w:rPr>
          <w:rFonts w:eastAsia="DejaVu Sans" w:cs="Lohit Hindi"/>
          <w:color w:val="000000"/>
          <w:szCs w:val="18"/>
          <w:lang w:val="nl-NL" w:eastAsia="nl-NL"/>
        </w:rPr>
        <w:t>Geachte voorzitter,</w:t>
      </w:r>
    </w:p>
    <w:p w:rsidR="000A607C" w:rsidRDefault="000A607C" w:rsidP="00617F0D">
      <w:pPr>
        <w:autoSpaceDN w:val="0"/>
        <w:spacing w:after="0" w:line="240" w:lineRule="exact"/>
        <w:textAlignment w:val="baseline"/>
        <w:rPr>
          <w:rFonts w:eastAsia="DejaVu Sans" w:cs="Lohit Hindi"/>
          <w:color w:val="000000"/>
          <w:szCs w:val="18"/>
          <w:lang w:val="nl-NL" w:eastAsia="nl-NL"/>
        </w:rPr>
      </w:pPr>
      <w:r>
        <w:rPr>
          <w:rFonts w:eastAsia="DejaVu Sans" w:cs="Lohit Hindi"/>
          <w:color w:val="000000"/>
          <w:szCs w:val="18"/>
          <w:lang w:val="nl-NL" w:eastAsia="nl-NL"/>
        </w:rPr>
        <w:t xml:space="preserve">Op 10 februari jl. </w:t>
      </w:r>
      <w:r w:rsidRPr="000A607C">
        <w:rPr>
          <w:rFonts w:eastAsia="DejaVu Sans" w:cs="Lohit Hindi"/>
          <w:color w:val="000000"/>
          <w:szCs w:val="18"/>
          <w:lang w:val="nl-NL" w:eastAsia="nl-NL"/>
        </w:rPr>
        <w:t>heb ik u</w:t>
      </w:r>
      <w:r>
        <w:rPr>
          <w:rFonts w:eastAsia="DejaVu Sans" w:cs="Lohit Hindi"/>
          <w:color w:val="000000"/>
          <w:szCs w:val="18"/>
          <w:lang w:val="nl-NL" w:eastAsia="nl-NL"/>
        </w:rPr>
        <w:t xml:space="preserve">w Kamer </w:t>
      </w:r>
      <w:r w:rsidRPr="000A607C">
        <w:rPr>
          <w:rFonts w:eastAsia="DejaVu Sans" w:cs="Lohit Hindi"/>
          <w:color w:val="000000"/>
          <w:szCs w:val="18"/>
          <w:lang w:val="nl-NL" w:eastAsia="nl-NL"/>
        </w:rPr>
        <w:t xml:space="preserve">het Onderhandelaarsakkoord voor de Noordzee aangeboden. </w:t>
      </w:r>
      <w:r>
        <w:rPr>
          <w:rFonts w:eastAsia="DejaVu Sans" w:cs="Lohit Hindi"/>
          <w:color w:val="000000"/>
          <w:szCs w:val="18"/>
          <w:lang w:val="nl-NL" w:eastAsia="nl-NL"/>
        </w:rPr>
        <w:t xml:space="preserve">Na consultatie van dit onderhandelaarsakkoord in de achterbannen van de deelnemende stakeholderpartijen en aanvullende besprekingen, kan ik u nu het definitieve Akkoord voor de Noordzee aanbieden. Ik doe dit mede namens </w:t>
      </w:r>
      <w:r w:rsidRPr="00FA66A6">
        <w:rPr>
          <w:rFonts w:eastAsia="DejaVu Sans" w:cs="Lohit Hindi"/>
          <w:color w:val="000000"/>
          <w:szCs w:val="18"/>
          <w:lang w:val="nl-NL" w:eastAsia="nl-NL"/>
        </w:rPr>
        <w:t>de minister van Landbouw, Natuur en Voedselkwaliteit</w:t>
      </w:r>
      <w:r>
        <w:rPr>
          <w:rFonts w:eastAsia="DejaVu Sans" w:cs="Lohit Hindi"/>
          <w:color w:val="000000"/>
          <w:szCs w:val="18"/>
          <w:lang w:val="nl-NL" w:eastAsia="nl-NL"/>
        </w:rPr>
        <w:t>,</w:t>
      </w:r>
      <w:r w:rsidRPr="00FA66A6">
        <w:rPr>
          <w:rFonts w:eastAsia="DejaVu Sans" w:cs="Lohit Hindi"/>
          <w:color w:val="000000"/>
          <w:szCs w:val="18"/>
          <w:lang w:val="nl-NL" w:eastAsia="nl-NL"/>
        </w:rPr>
        <w:t xml:space="preserve"> </w:t>
      </w:r>
      <w:r>
        <w:rPr>
          <w:rFonts w:eastAsia="DejaVu Sans" w:cs="Lohit Hindi"/>
          <w:color w:val="000000"/>
          <w:szCs w:val="18"/>
          <w:lang w:val="nl-NL" w:eastAsia="nl-NL"/>
        </w:rPr>
        <w:t xml:space="preserve">de </w:t>
      </w:r>
      <w:r w:rsidR="00FA66A6" w:rsidRPr="00FA66A6">
        <w:rPr>
          <w:rFonts w:eastAsia="DejaVu Sans" w:cs="Lohit Hindi"/>
          <w:color w:val="000000"/>
          <w:szCs w:val="18"/>
          <w:lang w:val="nl-NL" w:eastAsia="nl-NL"/>
        </w:rPr>
        <w:t>minister van Economische Zaken en Klimaat</w:t>
      </w:r>
      <w:r>
        <w:rPr>
          <w:rFonts w:eastAsia="DejaVu Sans" w:cs="Lohit Hindi"/>
          <w:color w:val="000000"/>
          <w:szCs w:val="18"/>
          <w:lang w:val="nl-NL" w:eastAsia="nl-NL"/>
        </w:rPr>
        <w:t>,</w:t>
      </w:r>
      <w:r w:rsidR="00FA66A6" w:rsidRPr="00FA66A6">
        <w:rPr>
          <w:rFonts w:eastAsia="DejaVu Sans" w:cs="Lohit Hindi"/>
          <w:color w:val="000000"/>
          <w:szCs w:val="18"/>
          <w:lang w:val="nl-NL" w:eastAsia="nl-NL"/>
        </w:rPr>
        <w:t xml:space="preserve"> de minister Binnenlandse Zaken en Koninkrijksrelaties</w:t>
      </w:r>
      <w:r>
        <w:rPr>
          <w:rFonts w:eastAsia="DejaVu Sans" w:cs="Lohit Hindi"/>
          <w:color w:val="000000"/>
          <w:szCs w:val="18"/>
          <w:lang w:val="nl-NL" w:eastAsia="nl-NL"/>
        </w:rPr>
        <w:t>, en de stakeholderpartijen uit het Noordzeeoverleg.</w:t>
      </w:r>
    </w:p>
    <w:p w:rsidR="000A607C" w:rsidRDefault="000A607C" w:rsidP="00617F0D">
      <w:pPr>
        <w:autoSpaceDN w:val="0"/>
        <w:spacing w:after="0" w:line="240" w:lineRule="exact"/>
        <w:textAlignment w:val="baseline"/>
        <w:rPr>
          <w:rFonts w:eastAsia="DejaVu Sans" w:cs="Lohit Hindi"/>
          <w:color w:val="000000"/>
          <w:szCs w:val="18"/>
          <w:lang w:val="nl-NL" w:eastAsia="nl-NL"/>
        </w:rPr>
      </w:pPr>
    </w:p>
    <w:p w:rsidR="000A607C" w:rsidRPr="000A607C" w:rsidRDefault="000A607C" w:rsidP="00617F0D">
      <w:pPr>
        <w:autoSpaceDN w:val="0"/>
        <w:spacing w:after="0" w:line="240" w:lineRule="exact"/>
        <w:textAlignment w:val="baseline"/>
        <w:rPr>
          <w:rFonts w:eastAsia="DejaVu Sans" w:cs="Lohit Hindi"/>
          <w:i/>
          <w:color w:val="000000"/>
          <w:szCs w:val="18"/>
          <w:lang w:val="nl-NL" w:eastAsia="nl-NL"/>
        </w:rPr>
      </w:pPr>
      <w:r w:rsidRPr="000A607C">
        <w:rPr>
          <w:rFonts w:eastAsia="DejaVu Sans" w:cs="Lohit Hindi"/>
          <w:i/>
          <w:color w:val="000000"/>
          <w:szCs w:val="18"/>
          <w:lang w:val="nl-NL" w:eastAsia="nl-NL"/>
        </w:rPr>
        <w:t>Betekenis van het Noordzeeakkoord</w:t>
      </w:r>
    </w:p>
    <w:p w:rsidR="00FA66A6" w:rsidRPr="00FA66A6" w:rsidRDefault="00FA66A6" w:rsidP="00617F0D">
      <w:pPr>
        <w:autoSpaceDN w:val="0"/>
        <w:spacing w:after="0" w:line="240" w:lineRule="exact"/>
        <w:textAlignment w:val="baseline"/>
        <w:rPr>
          <w:rFonts w:eastAsia="DejaVu Sans" w:cs="Lohit Hindi"/>
          <w:color w:val="000000"/>
          <w:szCs w:val="18"/>
          <w:lang w:val="nl-NL" w:eastAsia="nl-NL"/>
        </w:rPr>
      </w:pPr>
      <w:r w:rsidRPr="00FA66A6">
        <w:rPr>
          <w:rFonts w:eastAsia="DejaVu Sans" w:cs="Lohit Hindi"/>
          <w:color w:val="000000"/>
          <w:szCs w:val="18"/>
          <w:lang w:val="nl-NL" w:eastAsia="nl-NL"/>
        </w:rPr>
        <w:t xml:space="preserve">Dit Noordzeeakkoord bevat </w:t>
      </w:r>
      <w:r w:rsidR="00E360AA">
        <w:rPr>
          <w:rFonts w:eastAsia="DejaVu Sans" w:cs="Lohit Hindi"/>
          <w:color w:val="000000"/>
          <w:szCs w:val="18"/>
          <w:lang w:val="nl-NL" w:eastAsia="nl-NL"/>
        </w:rPr>
        <w:t xml:space="preserve">de </w:t>
      </w:r>
      <w:r w:rsidRPr="00FA66A6">
        <w:rPr>
          <w:rFonts w:eastAsia="DejaVu Sans" w:cs="Lohit Hindi"/>
          <w:color w:val="000000"/>
          <w:szCs w:val="18"/>
          <w:lang w:val="nl-NL" w:eastAsia="nl-NL"/>
        </w:rPr>
        <w:t xml:space="preserve">afspraken tussen het Rijk en stakeholderpartijen over keuzes en beleid die de strategische opgaven voor de energietransitie uit het Klimaatakkoord, voor natuurherstel en voor een gezonde toekomst voor visserij </w:t>
      </w:r>
      <w:r w:rsidR="00D17F15">
        <w:rPr>
          <w:rFonts w:eastAsia="DejaVu Sans" w:cs="Lohit Hindi"/>
          <w:color w:val="000000"/>
          <w:szCs w:val="18"/>
          <w:lang w:val="nl-NL" w:eastAsia="nl-NL"/>
        </w:rPr>
        <w:t xml:space="preserve">op de Noordzee </w:t>
      </w:r>
      <w:r w:rsidRPr="00FA66A6">
        <w:rPr>
          <w:rFonts w:eastAsia="DejaVu Sans" w:cs="Lohit Hindi"/>
          <w:color w:val="000000"/>
          <w:szCs w:val="18"/>
          <w:lang w:val="nl-NL" w:eastAsia="nl-NL"/>
        </w:rPr>
        <w:t xml:space="preserve">concreet en langdurig met elkaar in balans brengen. Hierbij wordt rekening gehouden met de belangen van andere gebruikers zoals zeevaart, defensie en zandwinning. Het is een evenwichtig pakket geworden van afspraken over een duurzaam gebruik van de Noordzee tot en met 2030 en daarna. Met daarbij bepalingen over de wijze en het tijdstip waarop deze afspraken worden bereikt om innovatie, transitie en mitigatie ten behoeve van natuur en visserij mogelijk te maken. Het Kabinet stelt voor de uitvoering van het Noordzeeakkoord een transitiebedrag van 200 miljoen euro tot en met 2030 beschikbaar. Dit budget is bedoeld voor sanering en verduurzaming van de visserij, voor natuurherstel, monitoring en onderzoek, voor het </w:t>
      </w:r>
      <w:r w:rsidR="00C63F32" w:rsidRPr="00C63F32">
        <w:rPr>
          <w:rFonts w:eastAsia="DejaVu Sans" w:cs="Lohit Hindi"/>
          <w:color w:val="000000"/>
          <w:szCs w:val="18"/>
          <w:lang w:val="nl-NL" w:eastAsia="nl-NL"/>
        </w:rPr>
        <w:t>de veilige doorvaart van de aan te leggen windparken</w:t>
      </w:r>
      <w:r w:rsidRPr="00FA66A6">
        <w:rPr>
          <w:rFonts w:eastAsia="DejaVu Sans" w:cs="Lohit Hindi"/>
          <w:color w:val="000000"/>
          <w:szCs w:val="18"/>
          <w:lang w:val="nl-NL" w:eastAsia="nl-NL"/>
        </w:rPr>
        <w:t>, en voor extra handhaving door de NVWA.</w:t>
      </w:r>
    </w:p>
    <w:p w:rsidR="00FA66A6" w:rsidRPr="00FA66A6" w:rsidRDefault="00FA66A6" w:rsidP="00617F0D">
      <w:pPr>
        <w:autoSpaceDN w:val="0"/>
        <w:spacing w:after="0" w:line="240" w:lineRule="exact"/>
        <w:textAlignment w:val="baseline"/>
        <w:rPr>
          <w:rFonts w:eastAsia="DejaVu Sans" w:cs="Lohit Hindi"/>
          <w:color w:val="000000"/>
          <w:szCs w:val="18"/>
          <w:lang w:val="nl-NL" w:eastAsia="nl-NL"/>
        </w:rPr>
      </w:pPr>
    </w:p>
    <w:p w:rsidR="00E360AA" w:rsidRPr="00E360AA" w:rsidRDefault="00E360AA" w:rsidP="00617F0D">
      <w:pPr>
        <w:autoSpaceDN w:val="0"/>
        <w:spacing w:after="0" w:line="240" w:lineRule="exact"/>
        <w:textAlignment w:val="baseline"/>
        <w:rPr>
          <w:rFonts w:eastAsia="DejaVu Sans" w:cs="Lohit Hindi"/>
          <w:i/>
          <w:color w:val="000000"/>
          <w:szCs w:val="18"/>
          <w:lang w:val="nl-NL" w:eastAsia="nl-NL"/>
        </w:rPr>
      </w:pPr>
      <w:r w:rsidRPr="00E360AA">
        <w:rPr>
          <w:rFonts w:eastAsia="DejaVu Sans" w:cs="Lohit Hindi"/>
          <w:i/>
          <w:color w:val="000000"/>
          <w:szCs w:val="18"/>
          <w:lang w:val="nl-NL" w:eastAsia="nl-NL"/>
        </w:rPr>
        <w:t>Steun voor het Noordzeeakkoord</w:t>
      </w:r>
    </w:p>
    <w:p w:rsidR="00FA66A6" w:rsidRDefault="00FA66A6" w:rsidP="00617F0D">
      <w:pPr>
        <w:autoSpaceDN w:val="0"/>
        <w:spacing w:after="0" w:line="240" w:lineRule="exact"/>
        <w:textAlignment w:val="baseline"/>
        <w:rPr>
          <w:rFonts w:eastAsia="DejaVu Sans" w:cs="Lohit Hindi"/>
          <w:color w:val="000000"/>
          <w:szCs w:val="18"/>
          <w:lang w:val="nl-NL" w:eastAsia="nl-NL"/>
        </w:rPr>
      </w:pPr>
      <w:r w:rsidRPr="00FA66A6">
        <w:rPr>
          <w:rFonts w:eastAsia="DejaVu Sans" w:cs="Lohit Hindi"/>
          <w:color w:val="000000"/>
          <w:szCs w:val="18"/>
          <w:lang w:val="nl-NL" w:eastAsia="nl-NL"/>
        </w:rPr>
        <w:t xml:space="preserve">In het Noordzeeoverleg waarin het Akkoord tot stand is gekomen, hebben de energiesector (gas, olie en wind), de natuur- en milieuorganisaties en de zeehavensector allen ingestemd met het behaalde resultaat. Ook zeven van de </w:t>
      </w:r>
      <w:r w:rsidR="002A416E">
        <w:rPr>
          <w:rFonts w:eastAsia="DejaVu Sans" w:cs="Lohit Hindi"/>
          <w:color w:val="000000"/>
          <w:szCs w:val="18"/>
          <w:lang w:val="nl-NL" w:eastAsia="nl-NL"/>
        </w:rPr>
        <w:t>negen betrokken bestuurlijke organisaties</w:t>
      </w:r>
      <w:r w:rsidRPr="00FA66A6">
        <w:rPr>
          <w:rFonts w:eastAsia="DejaVu Sans" w:cs="Lohit Hindi"/>
          <w:color w:val="000000"/>
          <w:szCs w:val="18"/>
          <w:lang w:val="nl-NL" w:eastAsia="nl-NL"/>
        </w:rPr>
        <w:t xml:space="preserve"> in de visserijsector hebben ingestemd met het Noordzeeakkoord. Ofschoon daarmee een meerderheid van de visserijbestuurders achter het Akkoord staat, vertegenwoordigt deze </w:t>
      </w:r>
      <w:r w:rsidR="00542834">
        <w:rPr>
          <w:rFonts w:eastAsia="DejaVu Sans" w:cs="Lohit Hindi"/>
          <w:color w:val="000000"/>
          <w:szCs w:val="18"/>
          <w:lang w:val="nl-NL" w:eastAsia="nl-NL"/>
        </w:rPr>
        <w:t xml:space="preserve">net </w:t>
      </w:r>
      <w:r w:rsidRPr="00FA66A6">
        <w:rPr>
          <w:rFonts w:eastAsia="DejaVu Sans" w:cs="Lohit Hindi"/>
          <w:color w:val="000000"/>
          <w:szCs w:val="18"/>
          <w:lang w:val="nl-NL" w:eastAsia="nl-NL"/>
        </w:rPr>
        <w:t xml:space="preserve">geen meerderheid van de leden in de achterban. Gezien de verdeeldheid in de achterban kunnen deze </w:t>
      </w:r>
      <w:r w:rsidR="00FF12E9">
        <w:rPr>
          <w:rFonts w:eastAsia="DejaVu Sans" w:cs="Lohit Hindi"/>
          <w:color w:val="000000"/>
          <w:szCs w:val="18"/>
          <w:lang w:val="nl-NL" w:eastAsia="nl-NL"/>
        </w:rPr>
        <w:t xml:space="preserve">zeven </w:t>
      </w:r>
      <w:r w:rsidRPr="00FA66A6">
        <w:rPr>
          <w:rFonts w:eastAsia="DejaVu Sans" w:cs="Lohit Hindi"/>
          <w:color w:val="000000"/>
          <w:szCs w:val="18"/>
          <w:lang w:val="nl-NL" w:eastAsia="nl-NL"/>
        </w:rPr>
        <w:t xml:space="preserve">organisaties niet namens de visserijsector ondertekenen. Ontwikkelingen op de Noordzee gaan echter door, belangen van de </w:t>
      </w:r>
      <w:r w:rsidRPr="00FA66A6">
        <w:rPr>
          <w:rFonts w:eastAsia="DejaVu Sans" w:cs="Lohit Hindi"/>
          <w:color w:val="000000"/>
          <w:szCs w:val="18"/>
          <w:lang w:val="nl-NL" w:eastAsia="nl-NL"/>
        </w:rPr>
        <w:lastRenderedPageBreak/>
        <w:t xml:space="preserve">visserij worden direct geraakt. Het is in het belang van de sector dat hun vertegenwoordiging volwaardig en met voldoende </w:t>
      </w:r>
      <w:r w:rsidR="00E360AA">
        <w:rPr>
          <w:rFonts w:eastAsia="DejaVu Sans" w:cs="Lohit Hindi"/>
          <w:color w:val="000000"/>
          <w:szCs w:val="18"/>
          <w:lang w:val="nl-NL" w:eastAsia="nl-NL"/>
        </w:rPr>
        <w:t>mandaat</w:t>
      </w:r>
      <w:r w:rsidRPr="00FA66A6">
        <w:rPr>
          <w:rFonts w:eastAsia="DejaVu Sans" w:cs="Lohit Hindi"/>
          <w:color w:val="000000"/>
          <w:szCs w:val="18"/>
          <w:lang w:val="nl-NL" w:eastAsia="nl-NL"/>
        </w:rPr>
        <w:t xml:space="preserve"> aan tafel kan komen bij het Noordzeeoverleg. Ik </w:t>
      </w:r>
      <w:r w:rsidR="00E360AA">
        <w:rPr>
          <w:rFonts w:eastAsia="DejaVu Sans" w:cs="Lohit Hindi"/>
          <w:color w:val="000000"/>
          <w:szCs w:val="18"/>
          <w:lang w:val="nl-NL" w:eastAsia="nl-NL"/>
        </w:rPr>
        <w:t>onder</w:t>
      </w:r>
      <w:r w:rsidRPr="00FA66A6">
        <w:rPr>
          <w:rFonts w:eastAsia="DejaVu Sans" w:cs="Lohit Hindi"/>
          <w:color w:val="000000"/>
          <w:szCs w:val="18"/>
          <w:lang w:val="nl-NL" w:eastAsia="nl-NL"/>
        </w:rPr>
        <w:t xml:space="preserve">steun daarom het initiatief van de minister van LNV </w:t>
      </w:r>
      <w:r w:rsidR="00E24BF2">
        <w:rPr>
          <w:rFonts w:eastAsia="DejaVu Sans" w:cs="Lohit Hindi"/>
          <w:color w:val="000000"/>
          <w:szCs w:val="18"/>
          <w:lang w:val="nl-NL" w:eastAsia="nl-NL"/>
        </w:rPr>
        <w:t xml:space="preserve">om </w:t>
      </w:r>
      <w:r w:rsidR="007616A3" w:rsidRPr="007616A3">
        <w:rPr>
          <w:rFonts w:eastAsia="DejaVu Sans" w:cs="Lohit Hindi"/>
          <w:color w:val="000000"/>
          <w:szCs w:val="18"/>
          <w:lang w:val="nl-NL" w:eastAsia="nl-NL"/>
        </w:rPr>
        <w:t xml:space="preserve">een externe verkenner </w:t>
      </w:r>
      <w:r w:rsidR="00E24BF2" w:rsidRPr="00E24BF2">
        <w:rPr>
          <w:rFonts w:eastAsia="DejaVu Sans" w:cs="Lohit Hindi"/>
          <w:color w:val="000000"/>
          <w:szCs w:val="18"/>
          <w:lang w:val="nl-NL" w:eastAsia="nl-NL"/>
        </w:rPr>
        <w:t xml:space="preserve">op korte termijn te </w:t>
      </w:r>
      <w:r w:rsidR="007616A3">
        <w:rPr>
          <w:rFonts w:eastAsia="DejaVu Sans" w:cs="Lohit Hindi"/>
          <w:color w:val="000000"/>
          <w:szCs w:val="18"/>
          <w:lang w:val="nl-NL" w:eastAsia="nl-NL"/>
        </w:rPr>
        <w:t xml:space="preserve">laten </w:t>
      </w:r>
      <w:r w:rsidR="00E24BF2" w:rsidRPr="00E24BF2">
        <w:rPr>
          <w:rFonts w:eastAsia="DejaVu Sans" w:cs="Lohit Hindi"/>
          <w:color w:val="000000"/>
          <w:szCs w:val="18"/>
          <w:lang w:val="nl-NL" w:eastAsia="nl-NL"/>
        </w:rPr>
        <w:t>onderzoeken welke feiten en omstandigheden tot zulke onderlinge verschillen binnen de visserij hebben geleid. En te verkennen hoe bevorderd kan worden dat bij de start van het permanente Noordzeeoverleg een zo breed mogelijk samengestelde delegatie aan dat overle</w:t>
      </w:r>
      <w:r w:rsidR="00E24BF2">
        <w:rPr>
          <w:rFonts w:eastAsia="DejaVu Sans" w:cs="Lohit Hindi"/>
          <w:color w:val="000000"/>
          <w:szCs w:val="18"/>
          <w:lang w:val="nl-NL" w:eastAsia="nl-NL"/>
        </w:rPr>
        <w:t>g gaat deelnemen.</w:t>
      </w:r>
    </w:p>
    <w:p w:rsidR="00E24BF2" w:rsidRPr="00FA66A6" w:rsidRDefault="00E24BF2" w:rsidP="00617F0D">
      <w:pPr>
        <w:autoSpaceDN w:val="0"/>
        <w:spacing w:after="0" w:line="240" w:lineRule="exact"/>
        <w:textAlignment w:val="baseline"/>
        <w:rPr>
          <w:rFonts w:eastAsia="DejaVu Sans" w:cs="Lohit Hindi"/>
          <w:color w:val="000000"/>
          <w:szCs w:val="18"/>
          <w:lang w:val="nl-NL" w:eastAsia="nl-NL"/>
        </w:rPr>
      </w:pPr>
    </w:p>
    <w:p w:rsidR="00E360AA" w:rsidRPr="00E360AA" w:rsidRDefault="00E360AA" w:rsidP="00617F0D">
      <w:pPr>
        <w:autoSpaceDN w:val="0"/>
        <w:spacing w:after="0" w:line="240" w:lineRule="exact"/>
        <w:textAlignment w:val="baseline"/>
        <w:rPr>
          <w:rFonts w:eastAsia="DejaVu Sans" w:cs="Lohit Hindi"/>
          <w:i/>
          <w:color w:val="000000"/>
          <w:szCs w:val="18"/>
          <w:lang w:val="nl-NL" w:eastAsia="nl-NL"/>
        </w:rPr>
      </w:pPr>
      <w:r w:rsidRPr="00E360AA">
        <w:rPr>
          <w:rFonts w:eastAsia="DejaVu Sans" w:cs="Lohit Hindi"/>
          <w:i/>
          <w:color w:val="000000"/>
          <w:szCs w:val="18"/>
          <w:lang w:val="nl-NL" w:eastAsia="nl-NL"/>
        </w:rPr>
        <w:t>Inbedding van het Noordzeeakkoord</w:t>
      </w:r>
    </w:p>
    <w:p w:rsidR="00FA66A6" w:rsidRDefault="00FA66A6" w:rsidP="00617F0D">
      <w:pPr>
        <w:autoSpaceDN w:val="0"/>
        <w:spacing w:after="0" w:line="240" w:lineRule="exact"/>
        <w:textAlignment w:val="baseline"/>
        <w:rPr>
          <w:rFonts w:eastAsia="DejaVu Sans" w:cs="Lohit Hindi"/>
          <w:color w:val="000000"/>
          <w:szCs w:val="18"/>
          <w:lang w:val="nl-NL" w:eastAsia="nl-NL"/>
        </w:rPr>
      </w:pPr>
      <w:r w:rsidRPr="00FA66A6">
        <w:rPr>
          <w:rFonts w:eastAsia="DejaVu Sans" w:cs="Lohit Hindi"/>
          <w:color w:val="000000"/>
          <w:szCs w:val="18"/>
          <w:lang w:val="nl-NL" w:eastAsia="nl-NL"/>
        </w:rPr>
        <w:t xml:space="preserve">Met dit </w:t>
      </w:r>
      <w:r w:rsidR="007C742C">
        <w:rPr>
          <w:rFonts w:eastAsia="DejaVu Sans" w:cs="Lohit Hindi"/>
          <w:color w:val="000000"/>
          <w:szCs w:val="18"/>
          <w:lang w:val="nl-NL" w:eastAsia="nl-NL"/>
        </w:rPr>
        <w:t>Noordzeeakkoord</w:t>
      </w:r>
      <w:r w:rsidRPr="00FA66A6">
        <w:rPr>
          <w:rFonts w:eastAsia="DejaVu Sans" w:cs="Lohit Hindi"/>
          <w:color w:val="000000"/>
          <w:szCs w:val="18"/>
          <w:lang w:val="nl-NL" w:eastAsia="nl-NL"/>
        </w:rPr>
        <w:t xml:space="preserve"> is voldaan aan het verzoek dat ik op 6 februari 2019 mede namens de genoemde ministers aan het Overlegorgaan Fysieke Leefomgeving (OFL) deed.</w:t>
      </w:r>
      <w:r w:rsidRPr="00FA66A6">
        <w:rPr>
          <w:rFonts w:eastAsia="DejaVu Sans" w:cs="Lohit Hindi"/>
          <w:color w:val="000000"/>
          <w:szCs w:val="18"/>
          <w:vertAlign w:val="superscript"/>
          <w:lang w:val="nl-NL" w:eastAsia="nl-NL"/>
        </w:rPr>
        <w:footnoteReference w:id="1"/>
      </w:r>
      <w:r w:rsidRPr="00FA66A6">
        <w:rPr>
          <w:rFonts w:eastAsia="DejaVu Sans" w:cs="Lohit Hindi"/>
          <w:color w:val="000000"/>
          <w:szCs w:val="18"/>
          <w:lang w:val="nl-NL" w:eastAsia="nl-NL"/>
        </w:rPr>
        <w:t xml:space="preserve"> Verder geeft dit </w:t>
      </w:r>
      <w:r w:rsidR="009455DF">
        <w:rPr>
          <w:rFonts w:eastAsia="DejaVu Sans" w:cs="Lohit Hindi"/>
          <w:color w:val="000000"/>
          <w:szCs w:val="18"/>
          <w:lang w:val="nl-NL" w:eastAsia="nl-NL"/>
        </w:rPr>
        <w:t>Akkoord</w:t>
      </w:r>
      <w:r w:rsidRPr="00FA66A6">
        <w:rPr>
          <w:rFonts w:eastAsia="DejaVu Sans" w:cs="Lohit Hindi"/>
          <w:color w:val="000000"/>
          <w:szCs w:val="18"/>
          <w:lang w:val="nl-NL" w:eastAsia="nl-NL"/>
        </w:rPr>
        <w:t xml:space="preserve"> antwoord op meerdere moties uit uw Kamer die aandacht vragen voor een evenwichtige en duurzame ontwikkeling van de Noordzee.</w:t>
      </w:r>
      <w:r w:rsidRPr="00FA66A6">
        <w:rPr>
          <w:rFonts w:eastAsia="DejaVu Sans" w:cs="Lohit Hindi"/>
          <w:color w:val="000000"/>
          <w:szCs w:val="18"/>
          <w:vertAlign w:val="superscript"/>
          <w:lang w:val="nl-NL" w:eastAsia="nl-NL"/>
        </w:rPr>
        <w:footnoteReference w:id="2"/>
      </w:r>
      <w:r w:rsidRPr="00FA66A6">
        <w:rPr>
          <w:rFonts w:eastAsia="DejaVu Sans" w:cs="Lohit Hindi"/>
          <w:color w:val="000000"/>
          <w:szCs w:val="18"/>
          <w:lang w:val="nl-NL" w:eastAsia="nl-NL"/>
        </w:rPr>
        <w:t xml:space="preserve"> </w:t>
      </w:r>
      <w:r w:rsidR="00E360AA">
        <w:rPr>
          <w:rFonts w:eastAsia="DejaVu Sans" w:cs="Lohit Hindi"/>
          <w:color w:val="000000"/>
          <w:szCs w:val="18"/>
          <w:lang w:val="nl-NL" w:eastAsia="nl-NL"/>
        </w:rPr>
        <w:t>E</w:t>
      </w:r>
      <w:r w:rsidRPr="00FA66A6">
        <w:rPr>
          <w:rFonts w:eastAsia="DejaVu Sans" w:cs="Lohit Hindi"/>
          <w:color w:val="000000"/>
          <w:szCs w:val="18"/>
          <w:lang w:val="nl-NL" w:eastAsia="nl-NL"/>
        </w:rPr>
        <w:t xml:space="preserve">en Noordzeeakkoord met stevig eigenaarschap bij de meest betrokken maatschappelijke partijen </w:t>
      </w:r>
      <w:r w:rsidR="00E360AA">
        <w:rPr>
          <w:rFonts w:eastAsia="DejaVu Sans" w:cs="Lohit Hindi"/>
          <w:color w:val="000000"/>
          <w:szCs w:val="18"/>
          <w:lang w:val="nl-NL" w:eastAsia="nl-NL"/>
        </w:rPr>
        <w:t xml:space="preserve">legt ook </w:t>
      </w:r>
      <w:r w:rsidRPr="00FA66A6">
        <w:rPr>
          <w:rFonts w:eastAsia="DejaVu Sans" w:cs="Lohit Hindi"/>
          <w:color w:val="000000"/>
          <w:szCs w:val="18"/>
          <w:lang w:val="nl-NL" w:eastAsia="nl-NL"/>
        </w:rPr>
        <w:t>een krachtige basis onder het besluitvormingsproces naar het Programma Noordzee 2022–2027 (bijlage bij het Nationaal Waterprogramma 2022-2027). Met dit Programma Noordzee 2022-2027 op basis van dit Noordzeeakkoord geef ik invulling aan de eerdere toezegging aan uw Kamer om een Strategische Agenda Noordzee 2030 op te stellen.</w:t>
      </w:r>
      <w:r w:rsidRPr="00FA66A6">
        <w:rPr>
          <w:rFonts w:eastAsia="DejaVu Sans" w:cs="Lohit Hindi"/>
          <w:color w:val="000000"/>
          <w:szCs w:val="18"/>
          <w:vertAlign w:val="superscript"/>
          <w:lang w:val="nl-NL" w:eastAsia="nl-NL"/>
        </w:rPr>
        <w:footnoteReference w:id="3"/>
      </w:r>
      <w:r w:rsidRPr="00FA66A6">
        <w:rPr>
          <w:rFonts w:eastAsia="DejaVu Sans" w:cs="Lohit Hindi"/>
          <w:color w:val="000000"/>
          <w:szCs w:val="18"/>
          <w:lang w:val="nl-NL" w:eastAsia="nl-NL"/>
        </w:rPr>
        <w:t xml:space="preserve"> Dit geeft mede uitwerking aan de maatschappelijke opgaven uit de Nationale Omgevingsvisie (NOVI). Andere trajecten die profijt van het Noordzeeakkoord zullen hebben, zijn de uitrol van de Routekaarten voor Windenergie op Zee en de realisatie van de Kottervisie. De minister van LNV zal uw Kamer informeren over de appreciatie bij het advies van mevrouw Burger voor een duurzame kottervisserij op de Noordzee, en de betekenis van het Noordzeeakkoord daarbij. Bovendien wordt met het Noordzeeakkoord expliciet voldaan aan een randvoorwaarde in het Klimaatakkoord, met brede steun van de maatschappelijke organisaties die intensief betrokken zijn bij de uitvoering van het Klimaatakkoord op de Noordzee.</w:t>
      </w:r>
      <w:r w:rsidRPr="00FA66A6">
        <w:rPr>
          <w:rFonts w:eastAsia="DejaVu Sans" w:cs="Lohit Hindi"/>
          <w:color w:val="000000"/>
          <w:szCs w:val="18"/>
          <w:vertAlign w:val="superscript"/>
          <w:lang w:val="nl-NL" w:eastAsia="nl-NL"/>
        </w:rPr>
        <w:footnoteReference w:id="4"/>
      </w:r>
    </w:p>
    <w:p w:rsidR="00E24BF2" w:rsidRDefault="00E24BF2" w:rsidP="00617F0D">
      <w:pPr>
        <w:autoSpaceDN w:val="0"/>
        <w:spacing w:after="0" w:line="240" w:lineRule="exact"/>
        <w:textAlignment w:val="baseline"/>
        <w:rPr>
          <w:rFonts w:eastAsia="DejaVu Sans" w:cs="Lohit Hindi"/>
          <w:color w:val="000000"/>
          <w:szCs w:val="18"/>
          <w:lang w:val="nl-NL" w:eastAsia="nl-NL"/>
        </w:rPr>
      </w:pPr>
    </w:p>
    <w:p w:rsidR="00E24BF2" w:rsidRPr="00E24BF2" w:rsidRDefault="00E24BF2" w:rsidP="00617F0D">
      <w:pPr>
        <w:autoSpaceDN w:val="0"/>
        <w:spacing w:after="0" w:line="240" w:lineRule="exact"/>
        <w:textAlignment w:val="baseline"/>
        <w:rPr>
          <w:rFonts w:eastAsia="DejaVu Sans" w:cs="Lohit Hindi"/>
          <w:i/>
          <w:color w:val="000000"/>
          <w:szCs w:val="18"/>
          <w:lang w:val="nl-NL" w:eastAsia="nl-NL"/>
        </w:rPr>
      </w:pPr>
      <w:r w:rsidRPr="00E24BF2">
        <w:rPr>
          <w:rFonts w:eastAsia="DejaVu Sans" w:cs="Lohit Hindi"/>
          <w:i/>
          <w:color w:val="000000"/>
          <w:szCs w:val="18"/>
          <w:lang w:val="nl-NL" w:eastAsia="nl-NL"/>
        </w:rPr>
        <w:t>Vervolg op het Noordzeeakkoord</w:t>
      </w:r>
    </w:p>
    <w:p w:rsidR="00E24BF2" w:rsidRDefault="00E24BF2" w:rsidP="00617F0D">
      <w:pPr>
        <w:autoSpaceDN w:val="0"/>
        <w:spacing w:after="0" w:line="240" w:lineRule="exact"/>
        <w:textAlignment w:val="baseline"/>
        <w:rPr>
          <w:rFonts w:eastAsia="DejaVu Sans" w:cs="Lohit Hindi"/>
          <w:color w:val="000000"/>
          <w:szCs w:val="18"/>
          <w:lang w:val="nl-NL" w:eastAsia="nl-NL"/>
        </w:rPr>
      </w:pPr>
      <w:r>
        <w:rPr>
          <w:rFonts w:eastAsia="DejaVu Sans" w:cs="Lohit Hindi"/>
          <w:color w:val="000000"/>
          <w:szCs w:val="18"/>
          <w:lang w:val="nl-NL" w:eastAsia="nl-NL"/>
        </w:rPr>
        <w:t xml:space="preserve">Voor het vervolg </w:t>
      </w:r>
      <w:r w:rsidRPr="00FA66A6">
        <w:rPr>
          <w:rFonts w:eastAsia="DejaVu Sans" w:cs="Lohit Hindi"/>
          <w:color w:val="000000"/>
          <w:szCs w:val="18"/>
          <w:lang w:val="nl-NL" w:eastAsia="nl-NL"/>
        </w:rPr>
        <w:t xml:space="preserve">zie </w:t>
      </w:r>
      <w:r>
        <w:rPr>
          <w:rFonts w:eastAsia="DejaVu Sans" w:cs="Lohit Hindi"/>
          <w:color w:val="000000"/>
          <w:szCs w:val="18"/>
          <w:lang w:val="nl-NL" w:eastAsia="nl-NL"/>
        </w:rPr>
        <w:t xml:space="preserve">ik </w:t>
      </w:r>
      <w:r w:rsidRPr="00FA66A6">
        <w:rPr>
          <w:rFonts w:eastAsia="DejaVu Sans" w:cs="Lohit Hindi"/>
          <w:color w:val="000000"/>
          <w:szCs w:val="18"/>
          <w:lang w:val="nl-NL" w:eastAsia="nl-NL"/>
        </w:rPr>
        <w:t xml:space="preserve">een groot belang in het voortzetten van een structureel op consensus gericht Noordzeeoverleg om de samenwerking en regie op de Noordzee blijvend te versterken, in bijzonder ter uitvoering van dit Noordzeeakkoord. Hiertoe is in het Akkoord een aanzet gegeven. Ik hecht eraan dat daarbij alle belanghebbenden worden betrokken, zoals zeevaart, recreatie en andere overheden. Ik hoop uw Kamer </w:t>
      </w:r>
      <w:r w:rsidR="00E336F7">
        <w:rPr>
          <w:rFonts w:eastAsia="DejaVu Sans" w:cs="Lohit Hindi"/>
          <w:color w:val="000000"/>
          <w:szCs w:val="18"/>
          <w:lang w:val="nl-NL" w:eastAsia="nl-NL"/>
        </w:rPr>
        <w:t>op korte termijn</w:t>
      </w:r>
      <w:r w:rsidRPr="00FA66A6">
        <w:rPr>
          <w:rFonts w:eastAsia="DejaVu Sans" w:cs="Lohit Hindi"/>
          <w:color w:val="000000"/>
          <w:szCs w:val="18"/>
          <w:lang w:val="nl-NL" w:eastAsia="nl-NL"/>
        </w:rPr>
        <w:t xml:space="preserve"> te kunnen informeren</w:t>
      </w:r>
      <w:r w:rsidR="00653373">
        <w:rPr>
          <w:rFonts w:eastAsia="DejaVu Sans" w:cs="Lohit Hindi"/>
          <w:color w:val="000000"/>
          <w:szCs w:val="18"/>
          <w:lang w:val="nl-NL" w:eastAsia="nl-NL"/>
        </w:rPr>
        <w:t xml:space="preserve"> </w:t>
      </w:r>
      <w:r w:rsidRPr="00FA66A6">
        <w:rPr>
          <w:rFonts w:eastAsia="DejaVu Sans" w:cs="Lohit Hindi"/>
          <w:color w:val="000000"/>
          <w:szCs w:val="18"/>
          <w:lang w:val="nl-NL" w:eastAsia="nl-NL"/>
        </w:rPr>
        <w:t>over het advies dat de heer Wallage namens het OFL zal uitbrengen over de governance van een structureel Noordzeeoverleg.</w:t>
      </w:r>
      <w:r w:rsidRPr="00FA66A6">
        <w:rPr>
          <w:rFonts w:eastAsia="DejaVu Sans" w:cs="Lohit Hindi"/>
          <w:color w:val="000000"/>
          <w:szCs w:val="18"/>
          <w:vertAlign w:val="superscript"/>
          <w:lang w:val="nl-NL" w:eastAsia="nl-NL"/>
        </w:rPr>
        <w:footnoteReference w:id="5"/>
      </w:r>
    </w:p>
    <w:p w:rsidR="006F0FAB" w:rsidRDefault="006F0FAB" w:rsidP="00617F0D">
      <w:pPr>
        <w:autoSpaceDN w:val="0"/>
        <w:spacing w:after="0" w:line="240" w:lineRule="exact"/>
        <w:textAlignment w:val="baseline"/>
        <w:rPr>
          <w:rFonts w:eastAsia="DejaVu Sans" w:cs="Lohit Hindi"/>
          <w:color w:val="000000"/>
          <w:szCs w:val="18"/>
          <w:lang w:val="nl-NL" w:eastAsia="nl-NL"/>
        </w:rPr>
      </w:pPr>
    </w:p>
    <w:p w:rsidR="00FA66A6" w:rsidRDefault="00FF12E9" w:rsidP="00617F0D">
      <w:pPr>
        <w:autoSpaceDN w:val="0"/>
        <w:spacing w:after="0" w:line="240" w:lineRule="exact"/>
        <w:textAlignment w:val="baseline"/>
        <w:rPr>
          <w:rFonts w:eastAsia="DejaVu Sans" w:cs="Lohit Hindi"/>
          <w:color w:val="000000"/>
          <w:szCs w:val="18"/>
          <w:lang w:val="nl-NL" w:eastAsia="nl-NL"/>
        </w:rPr>
      </w:pPr>
      <w:r w:rsidRPr="00FF12E9">
        <w:rPr>
          <w:rFonts w:eastAsia="DejaVu Sans" w:cs="Lohit Hindi"/>
          <w:color w:val="000000"/>
          <w:szCs w:val="18"/>
          <w:lang w:val="nl-NL" w:eastAsia="nl-NL"/>
        </w:rPr>
        <w:t>Uw Kamer heeft op 10 juni vragen aan mij gesteld in het kader van een Schriftelijk Overleg naar aanleiding van het Onderhandelaarsakkoord voor de Noordzee van 10 februari jl</w:t>
      </w:r>
      <w:r>
        <w:rPr>
          <w:rFonts w:eastAsia="DejaVu Sans" w:cs="Lohit Hindi"/>
          <w:color w:val="000000"/>
          <w:szCs w:val="18"/>
          <w:lang w:val="nl-NL" w:eastAsia="nl-NL"/>
        </w:rPr>
        <w:t>..</w:t>
      </w:r>
      <w:r w:rsidRPr="00FF12E9">
        <w:rPr>
          <w:rFonts w:eastAsia="DejaVu Sans" w:cs="Lohit Hindi"/>
          <w:color w:val="000000"/>
          <w:szCs w:val="18"/>
          <w:lang w:val="nl-NL" w:eastAsia="nl-NL"/>
        </w:rPr>
        <w:t xml:space="preserve"> Ik zal die vragen beantwoorden vanuit de inhoud van d</w:t>
      </w:r>
      <w:r>
        <w:rPr>
          <w:rFonts w:eastAsia="DejaVu Sans" w:cs="Lohit Hindi"/>
          <w:color w:val="000000"/>
          <w:szCs w:val="18"/>
          <w:lang w:val="nl-NL" w:eastAsia="nl-NL"/>
        </w:rPr>
        <w:t>it definitieve Noordzeeakkoord.</w:t>
      </w:r>
    </w:p>
    <w:p w:rsidR="00FF12E9" w:rsidRPr="00FA66A6" w:rsidRDefault="00FF12E9" w:rsidP="00617F0D">
      <w:pPr>
        <w:autoSpaceDN w:val="0"/>
        <w:spacing w:after="0" w:line="240" w:lineRule="exact"/>
        <w:textAlignment w:val="baseline"/>
        <w:rPr>
          <w:rFonts w:eastAsia="DejaVu Sans" w:cs="Lohit Hindi"/>
          <w:color w:val="000000"/>
          <w:szCs w:val="18"/>
          <w:lang w:val="nl-NL" w:eastAsia="nl-NL"/>
        </w:rPr>
      </w:pPr>
    </w:p>
    <w:p w:rsidR="00E360AA" w:rsidRPr="00E360AA" w:rsidRDefault="00E360AA" w:rsidP="00617F0D">
      <w:pPr>
        <w:autoSpaceDN w:val="0"/>
        <w:spacing w:after="0" w:line="240" w:lineRule="exact"/>
        <w:textAlignment w:val="baseline"/>
        <w:rPr>
          <w:rFonts w:eastAsia="DejaVu Sans" w:cs="Lohit Hindi"/>
          <w:i/>
          <w:color w:val="000000"/>
          <w:szCs w:val="18"/>
          <w:lang w:val="nl-NL" w:eastAsia="nl-NL"/>
        </w:rPr>
      </w:pPr>
      <w:r w:rsidRPr="00E360AA">
        <w:rPr>
          <w:rFonts w:eastAsia="DejaVu Sans" w:cs="Lohit Hindi"/>
          <w:i/>
          <w:color w:val="000000"/>
          <w:szCs w:val="18"/>
          <w:lang w:val="nl-NL" w:eastAsia="nl-NL"/>
        </w:rPr>
        <w:t>Tot slot</w:t>
      </w:r>
    </w:p>
    <w:p w:rsidR="00FA66A6" w:rsidRPr="00FA66A6" w:rsidRDefault="00FA66A6" w:rsidP="00617F0D">
      <w:pPr>
        <w:autoSpaceDN w:val="0"/>
        <w:spacing w:after="0" w:line="240" w:lineRule="exact"/>
        <w:textAlignment w:val="baseline"/>
        <w:rPr>
          <w:rFonts w:eastAsia="DejaVu Sans" w:cs="Lohit Hindi"/>
          <w:color w:val="000000"/>
          <w:szCs w:val="18"/>
          <w:lang w:val="nl-NL" w:eastAsia="nl-NL"/>
        </w:rPr>
      </w:pPr>
      <w:r w:rsidRPr="00FA66A6">
        <w:rPr>
          <w:rFonts w:eastAsia="DejaVu Sans" w:cs="Lohit Hindi"/>
          <w:color w:val="000000"/>
          <w:szCs w:val="18"/>
          <w:lang w:val="nl-NL" w:eastAsia="nl-NL"/>
        </w:rPr>
        <w:t xml:space="preserve">Ik wil </w:t>
      </w:r>
      <w:r w:rsidR="00FF12E9">
        <w:rPr>
          <w:rFonts w:eastAsia="DejaVu Sans" w:cs="Lohit Hindi"/>
          <w:color w:val="000000"/>
          <w:szCs w:val="18"/>
          <w:lang w:val="nl-NL" w:eastAsia="nl-NL"/>
        </w:rPr>
        <w:t>langs</w:t>
      </w:r>
      <w:r w:rsidRPr="00FA66A6">
        <w:rPr>
          <w:rFonts w:eastAsia="DejaVu Sans" w:cs="Lohit Hindi"/>
          <w:color w:val="000000"/>
          <w:szCs w:val="18"/>
          <w:lang w:val="nl-NL" w:eastAsia="nl-NL"/>
        </w:rPr>
        <w:t xml:space="preserve"> deze weg met nadruk herhalen wat ik </w:t>
      </w:r>
      <w:r w:rsidR="00FF12E9">
        <w:rPr>
          <w:rFonts w:eastAsia="DejaVu Sans" w:cs="Lohit Hindi"/>
          <w:color w:val="000000"/>
          <w:szCs w:val="18"/>
          <w:lang w:val="nl-NL" w:eastAsia="nl-NL"/>
        </w:rPr>
        <w:t xml:space="preserve">eerder </w:t>
      </w:r>
      <w:r w:rsidR="00D41F5C" w:rsidRPr="00FA66A6">
        <w:rPr>
          <w:rFonts w:eastAsia="DejaVu Sans" w:cs="Lohit Hindi"/>
          <w:color w:val="000000"/>
          <w:szCs w:val="18"/>
          <w:lang w:val="nl-NL" w:eastAsia="nl-NL"/>
        </w:rPr>
        <w:t xml:space="preserve">aan uw Kamer heb geschreven </w:t>
      </w:r>
      <w:r w:rsidR="009455DF">
        <w:rPr>
          <w:rFonts w:eastAsia="DejaVu Sans" w:cs="Lohit Hindi"/>
          <w:color w:val="000000"/>
          <w:szCs w:val="18"/>
          <w:lang w:val="nl-NL" w:eastAsia="nl-NL"/>
        </w:rPr>
        <w:t>bij het aanbieden van het O</w:t>
      </w:r>
      <w:r w:rsidRPr="00FA66A6">
        <w:rPr>
          <w:rFonts w:eastAsia="DejaVu Sans" w:cs="Lohit Hindi"/>
          <w:color w:val="000000"/>
          <w:szCs w:val="18"/>
          <w:lang w:val="nl-NL" w:eastAsia="nl-NL"/>
        </w:rPr>
        <w:t xml:space="preserve">nderhandelaarsakkoord in februari. </w:t>
      </w:r>
      <w:r w:rsidR="00FE7A06">
        <w:rPr>
          <w:rFonts w:eastAsia="DejaVu Sans" w:cs="Lohit Hindi"/>
          <w:color w:val="000000"/>
          <w:szCs w:val="18"/>
          <w:lang w:val="nl-NL" w:eastAsia="nl-NL"/>
        </w:rPr>
        <w:t>Mede</w:t>
      </w:r>
      <w:r w:rsidRPr="00FA66A6">
        <w:rPr>
          <w:rFonts w:eastAsia="DejaVu Sans" w:cs="Lohit Hindi"/>
          <w:color w:val="000000"/>
          <w:szCs w:val="18"/>
          <w:lang w:val="nl-NL" w:eastAsia="nl-NL"/>
        </w:rPr>
        <w:t xml:space="preserve"> namens de betrokken ministers</w:t>
      </w:r>
      <w:r w:rsidR="00FE7A06">
        <w:rPr>
          <w:rFonts w:eastAsia="DejaVu Sans" w:cs="Lohit Hindi"/>
          <w:color w:val="000000"/>
          <w:szCs w:val="18"/>
          <w:lang w:val="nl-NL" w:eastAsia="nl-NL"/>
        </w:rPr>
        <w:t xml:space="preserve"> spreek ik mijn dank uit</w:t>
      </w:r>
      <w:r w:rsidRPr="00FA66A6">
        <w:rPr>
          <w:rFonts w:eastAsia="DejaVu Sans" w:cs="Lohit Hindi"/>
          <w:color w:val="000000"/>
          <w:szCs w:val="18"/>
          <w:lang w:val="nl-NL" w:eastAsia="nl-NL"/>
        </w:rPr>
        <w:t xml:space="preserve"> voor het intensieve en constructieve overleg dat in het afgelopen anderhalf jaar is gevoerd en het belangrijke resultaat dat </w:t>
      </w:r>
      <w:r w:rsidR="00653373">
        <w:rPr>
          <w:rFonts w:eastAsia="DejaVu Sans" w:cs="Lohit Hindi"/>
          <w:color w:val="000000"/>
          <w:szCs w:val="18"/>
          <w:lang w:val="nl-NL" w:eastAsia="nl-NL"/>
        </w:rPr>
        <w:t>het</w:t>
      </w:r>
      <w:r w:rsidRPr="00FA66A6">
        <w:rPr>
          <w:rFonts w:eastAsia="DejaVu Sans" w:cs="Lohit Hindi"/>
          <w:color w:val="000000"/>
          <w:szCs w:val="18"/>
          <w:lang w:val="nl-NL" w:eastAsia="nl-NL"/>
        </w:rPr>
        <w:t xml:space="preserve"> heeft opgeleverd. Daarbij </w:t>
      </w:r>
      <w:r w:rsidR="00FE7A06">
        <w:rPr>
          <w:rFonts w:eastAsia="DejaVu Sans" w:cs="Lohit Hindi"/>
          <w:color w:val="000000"/>
          <w:szCs w:val="18"/>
          <w:lang w:val="nl-NL" w:eastAsia="nl-NL"/>
        </w:rPr>
        <w:t xml:space="preserve">noem ik specifiek </w:t>
      </w:r>
      <w:r w:rsidRPr="00FA66A6">
        <w:rPr>
          <w:rFonts w:eastAsia="DejaVu Sans" w:cs="Lohit Hindi"/>
          <w:color w:val="000000"/>
          <w:szCs w:val="18"/>
          <w:lang w:val="nl-NL" w:eastAsia="nl-NL"/>
        </w:rPr>
        <w:t xml:space="preserve">de bereidheid die er bij alle partijen </w:t>
      </w:r>
      <w:r w:rsidR="00D41F5C">
        <w:rPr>
          <w:rFonts w:eastAsia="DejaVu Sans" w:cs="Lohit Hindi"/>
          <w:color w:val="000000"/>
          <w:szCs w:val="18"/>
          <w:lang w:val="nl-NL" w:eastAsia="nl-NL"/>
        </w:rPr>
        <w:t xml:space="preserve">is </w:t>
      </w:r>
      <w:r w:rsidRPr="00FA66A6">
        <w:rPr>
          <w:rFonts w:eastAsia="DejaVu Sans" w:cs="Lohit Hindi"/>
          <w:color w:val="000000"/>
          <w:szCs w:val="18"/>
          <w:lang w:val="nl-NL" w:eastAsia="nl-NL"/>
        </w:rPr>
        <w:t>om over hun eigen schaduw heen te springen. Ten</w:t>
      </w:r>
      <w:r w:rsidR="00E74686">
        <w:rPr>
          <w:rFonts w:eastAsia="DejaVu Sans" w:cs="Lohit Hindi"/>
          <w:color w:val="000000"/>
          <w:szCs w:val="18"/>
          <w:lang w:val="nl-NL" w:eastAsia="nl-NL"/>
        </w:rPr>
        <w:t xml:space="preserve"> </w:t>
      </w:r>
      <w:r w:rsidRPr="00FA66A6">
        <w:rPr>
          <w:rFonts w:eastAsia="DejaVu Sans" w:cs="Lohit Hindi"/>
          <w:color w:val="000000"/>
          <w:szCs w:val="18"/>
          <w:lang w:val="nl-NL" w:eastAsia="nl-NL"/>
        </w:rPr>
        <w:t xml:space="preserve">slotte wil ik de voorzitter de heer Jacques Wallage </w:t>
      </w:r>
      <w:r w:rsidR="00D41F5C">
        <w:rPr>
          <w:rFonts w:eastAsia="DejaVu Sans" w:cs="Lohit Hindi"/>
          <w:color w:val="000000"/>
          <w:szCs w:val="18"/>
          <w:lang w:val="nl-NL" w:eastAsia="nl-NL"/>
        </w:rPr>
        <w:t xml:space="preserve">van het </w:t>
      </w:r>
      <w:r w:rsidRPr="00FA66A6">
        <w:rPr>
          <w:rFonts w:eastAsia="DejaVu Sans" w:cs="Lohit Hindi"/>
          <w:color w:val="000000"/>
          <w:szCs w:val="18"/>
          <w:lang w:val="nl-NL" w:eastAsia="nl-NL"/>
        </w:rPr>
        <w:t xml:space="preserve">OFL complimenteren voor de </w:t>
      </w:r>
      <w:r w:rsidR="00D41F5C">
        <w:rPr>
          <w:rFonts w:eastAsia="DejaVu Sans" w:cs="Lohit Hindi"/>
          <w:color w:val="000000"/>
          <w:szCs w:val="18"/>
          <w:lang w:val="nl-NL" w:eastAsia="nl-NL"/>
        </w:rPr>
        <w:t xml:space="preserve">wijze waarop hij </w:t>
      </w:r>
      <w:r w:rsidRPr="00FA66A6">
        <w:rPr>
          <w:rFonts w:eastAsia="DejaVu Sans" w:cs="Lohit Hindi"/>
          <w:color w:val="000000"/>
          <w:szCs w:val="18"/>
          <w:lang w:val="nl-NL" w:eastAsia="nl-NL"/>
        </w:rPr>
        <w:t xml:space="preserve">met tomeloze inzet samen met de partijen </w:t>
      </w:r>
      <w:r w:rsidR="00D41F5C">
        <w:rPr>
          <w:rFonts w:eastAsia="DejaVu Sans" w:cs="Lohit Hindi"/>
          <w:color w:val="000000"/>
          <w:szCs w:val="18"/>
          <w:lang w:val="nl-NL" w:eastAsia="nl-NL"/>
        </w:rPr>
        <w:t xml:space="preserve">dit Noordzeeakkoord </w:t>
      </w:r>
      <w:r w:rsidRPr="00FA66A6">
        <w:rPr>
          <w:rFonts w:eastAsia="DejaVu Sans" w:cs="Lohit Hindi"/>
          <w:color w:val="000000"/>
          <w:szCs w:val="18"/>
          <w:lang w:val="nl-NL" w:eastAsia="nl-NL"/>
        </w:rPr>
        <w:t>heeft mogelijk gemaakt. Hierdoor hebben we gezamenlij</w:t>
      </w:r>
      <w:r w:rsidR="00D41F5C">
        <w:rPr>
          <w:rFonts w:eastAsia="DejaVu Sans" w:cs="Lohit Hindi"/>
          <w:color w:val="000000"/>
          <w:szCs w:val="18"/>
          <w:lang w:val="nl-NL" w:eastAsia="nl-NL"/>
        </w:rPr>
        <w:t xml:space="preserve">k </w:t>
      </w:r>
      <w:r w:rsidRPr="00FA66A6">
        <w:rPr>
          <w:rFonts w:eastAsia="DejaVu Sans" w:cs="Lohit Hindi"/>
          <w:color w:val="000000"/>
          <w:szCs w:val="18"/>
          <w:lang w:val="nl-NL" w:eastAsia="nl-NL"/>
        </w:rPr>
        <w:t xml:space="preserve">meer bereikt dan </w:t>
      </w:r>
      <w:r w:rsidR="00D41F5C">
        <w:rPr>
          <w:rFonts w:eastAsia="DejaVu Sans" w:cs="Lohit Hindi"/>
          <w:color w:val="000000"/>
          <w:szCs w:val="18"/>
          <w:lang w:val="nl-NL" w:eastAsia="nl-NL"/>
        </w:rPr>
        <w:t>buiten dit Akkoord i</w:t>
      </w:r>
      <w:r w:rsidRPr="00FA66A6">
        <w:rPr>
          <w:rFonts w:eastAsia="DejaVu Sans" w:cs="Lohit Hindi"/>
          <w:color w:val="000000"/>
          <w:szCs w:val="18"/>
          <w:lang w:val="nl-NL" w:eastAsia="nl-NL"/>
        </w:rPr>
        <w:t>n afzonderlijke dossiers mogelijk was geweest.</w:t>
      </w:r>
      <w:r w:rsidR="00E24BF2">
        <w:rPr>
          <w:rFonts w:eastAsia="DejaVu Sans" w:cs="Lohit Hindi"/>
          <w:color w:val="000000"/>
          <w:szCs w:val="18"/>
          <w:lang w:val="nl-NL" w:eastAsia="nl-NL"/>
        </w:rPr>
        <w:t xml:space="preserve"> </w:t>
      </w:r>
      <w:r w:rsidRPr="00FA66A6">
        <w:rPr>
          <w:rFonts w:eastAsia="DejaVu Sans" w:cs="Lohit Hindi"/>
          <w:color w:val="000000"/>
          <w:szCs w:val="18"/>
          <w:lang w:val="nl-NL" w:eastAsia="nl-NL"/>
        </w:rPr>
        <w:t xml:space="preserve">Met dit </w:t>
      </w:r>
      <w:r>
        <w:rPr>
          <w:rFonts w:eastAsia="DejaVu Sans" w:cs="Lohit Hindi"/>
          <w:color w:val="000000"/>
          <w:szCs w:val="18"/>
          <w:lang w:val="nl-NL" w:eastAsia="nl-NL"/>
        </w:rPr>
        <w:t xml:space="preserve">Akkoord voor de Noordzee wordt </w:t>
      </w:r>
      <w:r w:rsidRPr="00FA66A6">
        <w:rPr>
          <w:rFonts w:eastAsia="DejaVu Sans" w:cs="Lohit Hindi"/>
          <w:color w:val="000000"/>
          <w:szCs w:val="18"/>
          <w:lang w:val="nl-NL" w:eastAsia="nl-NL"/>
        </w:rPr>
        <w:t xml:space="preserve">een grote stap gezet in een constructieve samenwerking </w:t>
      </w:r>
      <w:r w:rsidR="00FF12E9">
        <w:rPr>
          <w:rFonts w:eastAsia="DejaVu Sans" w:cs="Lohit Hindi"/>
          <w:color w:val="000000"/>
          <w:szCs w:val="18"/>
          <w:lang w:val="nl-NL" w:eastAsia="nl-NL"/>
        </w:rPr>
        <w:t xml:space="preserve">tussen </w:t>
      </w:r>
      <w:r>
        <w:rPr>
          <w:rFonts w:eastAsia="DejaVu Sans" w:cs="Lohit Hindi"/>
          <w:color w:val="000000"/>
          <w:szCs w:val="18"/>
          <w:lang w:val="nl-NL" w:eastAsia="nl-NL"/>
        </w:rPr>
        <w:t xml:space="preserve">de overheid en de samenleving </w:t>
      </w:r>
      <w:r w:rsidRPr="00FA66A6">
        <w:rPr>
          <w:rFonts w:eastAsia="DejaVu Sans" w:cs="Lohit Hindi"/>
          <w:color w:val="000000"/>
          <w:szCs w:val="18"/>
          <w:lang w:val="nl-NL" w:eastAsia="nl-NL"/>
        </w:rPr>
        <w:t>aan een gezonde zee met een duurzaam gebruik, met ruimte voor alle activiteiten</w:t>
      </w:r>
      <w:r>
        <w:rPr>
          <w:rFonts w:eastAsia="DejaVu Sans" w:cs="Lohit Hindi"/>
          <w:color w:val="000000"/>
          <w:szCs w:val="18"/>
          <w:lang w:val="nl-NL" w:eastAsia="nl-NL"/>
        </w:rPr>
        <w:t>.</w:t>
      </w:r>
    </w:p>
    <w:p w:rsidR="00FA66A6" w:rsidRPr="00FA66A6" w:rsidRDefault="00FA66A6" w:rsidP="00617F0D">
      <w:pPr>
        <w:autoSpaceDN w:val="0"/>
        <w:spacing w:before="240" w:after="0" w:line="240" w:lineRule="exact"/>
        <w:textAlignment w:val="baseline"/>
        <w:rPr>
          <w:rFonts w:eastAsia="DejaVu Sans" w:cs="Lohit Hindi"/>
          <w:color w:val="000000"/>
          <w:szCs w:val="18"/>
          <w:lang w:val="nl-NL" w:eastAsia="nl-NL"/>
        </w:rPr>
      </w:pPr>
      <w:r w:rsidRPr="00FA66A6">
        <w:rPr>
          <w:rFonts w:eastAsia="DejaVu Sans" w:cs="Lohit Hindi"/>
          <w:color w:val="000000"/>
          <w:szCs w:val="18"/>
          <w:lang w:val="nl-NL" w:eastAsia="nl-NL"/>
        </w:rPr>
        <w:t>Hoogachtend,</w:t>
      </w:r>
    </w:p>
    <w:p w:rsidR="00FA66A6" w:rsidRPr="00FA66A6" w:rsidRDefault="00FA66A6" w:rsidP="00617F0D">
      <w:pPr>
        <w:autoSpaceDN w:val="0"/>
        <w:spacing w:before="240" w:after="0" w:line="240" w:lineRule="exact"/>
        <w:textAlignment w:val="baseline"/>
        <w:rPr>
          <w:rFonts w:eastAsia="DejaVu Sans" w:cs="Lohit Hindi"/>
          <w:color w:val="000000"/>
          <w:szCs w:val="18"/>
          <w:lang w:val="nl-NL" w:eastAsia="nl-NL"/>
        </w:rPr>
      </w:pPr>
      <w:r w:rsidRPr="00FA66A6">
        <w:rPr>
          <w:rFonts w:eastAsia="DejaVu Sans" w:cs="Lohit Hindi"/>
          <w:color w:val="000000"/>
          <w:szCs w:val="18"/>
          <w:lang w:val="nl-NL" w:eastAsia="nl-NL"/>
        </w:rPr>
        <w:t>DE MINISTER VAN INFRASTRUCTUUR EN WATERSTAAT,</w:t>
      </w:r>
    </w:p>
    <w:p w:rsidR="00FA66A6" w:rsidRPr="00FA66A6" w:rsidRDefault="00FA66A6" w:rsidP="00617F0D">
      <w:pPr>
        <w:autoSpaceDN w:val="0"/>
        <w:spacing w:after="0" w:line="240" w:lineRule="exact"/>
        <w:textAlignment w:val="baseline"/>
        <w:rPr>
          <w:rFonts w:eastAsia="DejaVu Sans" w:cs="Lohit Hindi"/>
          <w:color w:val="000000"/>
          <w:szCs w:val="18"/>
          <w:lang w:val="nl-NL" w:eastAsia="nl-NL"/>
        </w:rPr>
      </w:pPr>
    </w:p>
    <w:p w:rsidR="00FA66A6" w:rsidRPr="00FA66A6" w:rsidRDefault="00FA66A6" w:rsidP="00617F0D">
      <w:pPr>
        <w:autoSpaceDN w:val="0"/>
        <w:spacing w:after="0" w:line="240" w:lineRule="exact"/>
        <w:textAlignment w:val="baseline"/>
        <w:rPr>
          <w:rFonts w:eastAsia="DejaVu Sans" w:cs="Lohit Hindi"/>
          <w:color w:val="000000"/>
          <w:szCs w:val="18"/>
          <w:lang w:val="nl-NL" w:eastAsia="nl-NL"/>
        </w:rPr>
      </w:pPr>
    </w:p>
    <w:p w:rsidR="00FA66A6" w:rsidRPr="00FA66A6" w:rsidRDefault="00FA66A6" w:rsidP="00617F0D">
      <w:pPr>
        <w:autoSpaceDN w:val="0"/>
        <w:spacing w:after="0" w:line="240" w:lineRule="exact"/>
        <w:textAlignment w:val="baseline"/>
        <w:rPr>
          <w:rFonts w:eastAsia="DejaVu Sans" w:cs="Lohit Hindi"/>
          <w:color w:val="000000"/>
          <w:szCs w:val="18"/>
          <w:lang w:val="nl-NL" w:eastAsia="nl-NL"/>
        </w:rPr>
      </w:pPr>
    </w:p>
    <w:p w:rsidR="00FA66A6" w:rsidRPr="00FA66A6" w:rsidRDefault="00FA66A6" w:rsidP="00617F0D">
      <w:pPr>
        <w:autoSpaceDN w:val="0"/>
        <w:spacing w:after="0" w:line="240" w:lineRule="exact"/>
        <w:textAlignment w:val="baseline"/>
        <w:rPr>
          <w:rFonts w:eastAsia="DejaVu Sans" w:cs="Lohit Hindi"/>
          <w:color w:val="000000"/>
          <w:szCs w:val="18"/>
          <w:lang w:val="nl-NL" w:eastAsia="nl-NL"/>
        </w:rPr>
      </w:pPr>
    </w:p>
    <w:p w:rsidR="00FA66A6" w:rsidRPr="00FA66A6" w:rsidRDefault="00FA66A6" w:rsidP="00617F0D">
      <w:pPr>
        <w:autoSpaceDN w:val="0"/>
        <w:spacing w:after="0" w:line="240" w:lineRule="exact"/>
        <w:textAlignment w:val="baseline"/>
        <w:rPr>
          <w:rFonts w:eastAsia="DejaVu Sans" w:cs="Lohit Hindi"/>
          <w:color w:val="000000"/>
          <w:szCs w:val="18"/>
          <w:lang w:val="nl-NL" w:eastAsia="nl-NL"/>
        </w:rPr>
      </w:pPr>
      <w:r w:rsidRPr="00FA66A6">
        <w:rPr>
          <w:rFonts w:eastAsia="DejaVu Sans" w:cs="Lohit Hindi"/>
          <w:color w:val="000000"/>
          <w:szCs w:val="18"/>
          <w:lang w:val="nl-NL" w:eastAsia="nl-NL"/>
        </w:rPr>
        <w:t>drs. C. van Nieuwenhuizen Wijbenga</w:t>
      </w:r>
    </w:p>
    <w:p w:rsidR="00B06701" w:rsidRDefault="00B06701" w:rsidP="00617F0D">
      <w:pPr>
        <w:spacing w:line="240" w:lineRule="exact"/>
      </w:pPr>
    </w:p>
    <w:sectPr w:rsidR="00B06701">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29AE" w:rsidRDefault="001329AE" w:rsidP="00FA66A6">
      <w:pPr>
        <w:spacing w:after="0" w:line="240" w:lineRule="auto"/>
      </w:pPr>
      <w:r>
        <w:separator/>
      </w:r>
    </w:p>
  </w:endnote>
  <w:endnote w:type="continuationSeparator" w:id="0">
    <w:p w:rsidR="001329AE" w:rsidRDefault="001329AE" w:rsidP="00FA6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7F0D" w:rsidRDefault="00617F0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7F0D" w:rsidRDefault="00617F0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7F0D" w:rsidRDefault="00617F0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29AE" w:rsidRDefault="001329AE" w:rsidP="00FA66A6">
      <w:pPr>
        <w:spacing w:after="0" w:line="240" w:lineRule="auto"/>
      </w:pPr>
      <w:r>
        <w:separator/>
      </w:r>
    </w:p>
  </w:footnote>
  <w:footnote w:type="continuationSeparator" w:id="0">
    <w:p w:rsidR="001329AE" w:rsidRDefault="001329AE" w:rsidP="00FA66A6">
      <w:pPr>
        <w:spacing w:after="0" w:line="240" w:lineRule="auto"/>
      </w:pPr>
      <w:r>
        <w:continuationSeparator/>
      </w:r>
    </w:p>
  </w:footnote>
  <w:footnote w:id="1">
    <w:p w:rsidR="00FA66A6" w:rsidRPr="00617F0D" w:rsidRDefault="00FA66A6" w:rsidP="00FA66A6">
      <w:pPr>
        <w:pStyle w:val="Voetnoottekst"/>
        <w:rPr>
          <w:sz w:val="16"/>
          <w:szCs w:val="16"/>
        </w:rPr>
      </w:pPr>
      <w:r w:rsidRPr="00617F0D">
        <w:rPr>
          <w:rStyle w:val="Voetnootmarkering"/>
          <w:sz w:val="16"/>
          <w:szCs w:val="16"/>
        </w:rPr>
        <w:footnoteRef/>
      </w:r>
      <w:r w:rsidRPr="00617F0D">
        <w:rPr>
          <w:sz w:val="16"/>
          <w:szCs w:val="16"/>
        </w:rPr>
        <w:t xml:space="preserve"> Kamerstuk 33 450 nr. 55.</w:t>
      </w:r>
    </w:p>
  </w:footnote>
  <w:footnote w:id="2">
    <w:p w:rsidR="00FA66A6" w:rsidRPr="00617F0D" w:rsidRDefault="00FA66A6" w:rsidP="00FA66A6">
      <w:pPr>
        <w:pStyle w:val="Voetnoottekst"/>
        <w:rPr>
          <w:sz w:val="16"/>
          <w:szCs w:val="16"/>
        </w:rPr>
      </w:pPr>
      <w:r w:rsidRPr="00617F0D">
        <w:rPr>
          <w:rStyle w:val="Voetnootmarkering"/>
          <w:sz w:val="16"/>
          <w:szCs w:val="16"/>
        </w:rPr>
        <w:footnoteRef/>
      </w:r>
      <w:r w:rsidRPr="00617F0D">
        <w:rPr>
          <w:sz w:val="16"/>
          <w:szCs w:val="16"/>
        </w:rPr>
        <w:t xml:space="preserve"> Motie Geurts en Weverling over doorvaart vissersschepen windparken (Kamerstuk 29 664, nr.179); motie lid Sienot cs over een duurzame toekomst voor vis en visser (Kamerstuk 34 526, nr.7); motie Bromet en Moorlag over resultaatverplichtingen voor natuurvriendelijk zeebeleid binnen windmolenparken (Kamerstuk 34 526, nr. 11); motie Geurts en Sienot over de vorming van een Noordzeetransitiefonds en van innovatieve vormen van financiering (Kamerstuk 34 526, nr. 6); motie Sienot cs. over onderzoek naar het gebruik van militair oefengebied EHD 42 voor het realiseren van windmolenparken (Kamerstuk 33 529, nr. 543); motie Dijkstra over het borgen van de belangen van zeevaart en defensie ten aanzien van de Noordzee (Kamerstuk 35 300 XII nr. 60).</w:t>
      </w:r>
    </w:p>
  </w:footnote>
  <w:footnote w:id="3">
    <w:p w:rsidR="00FA66A6" w:rsidRPr="00617F0D" w:rsidRDefault="00FA66A6" w:rsidP="00FA66A6">
      <w:pPr>
        <w:pStyle w:val="Voetnoottekst"/>
        <w:rPr>
          <w:sz w:val="16"/>
          <w:szCs w:val="16"/>
        </w:rPr>
      </w:pPr>
      <w:r w:rsidRPr="00617F0D">
        <w:rPr>
          <w:rStyle w:val="Voetnootmarkering"/>
          <w:sz w:val="16"/>
          <w:szCs w:val="16"/>
        </w:rPr>
        <w:footnoteRef/>
      </w:r>
      <w:r w:rsidRPr="00617F0D">
        <w:rPr>
          <w:sz w:val="16"/>
          <w:szCs w:val="16"/>
        </w:rPr>
        <w:t xml:space="preserve"> Kamerstuk 27 625 nr. 409</w:t>
      </w:r>
    </w:p>
  </w:footnote>
  <w:footnote w:id="4">
    <w:p w:rsidR="00FA66A6" w:rsidRPr="00617F0D" w:rsidRDefault="00FA66A6" w:rsidP="00FA66A6">
      <w:pPr>
        <w:pStyle w:val="Voetnoottekst"/>
        <w:rPr>
          <w:sz w:val="16"/>
          <w:szCs w:val="16"/>
        </w:rPr>
      </w:pPr>
      <w:r w:rsidRPr="00617F0D">
        <w:rPr>
          <w:rStyle w:val="Voetnootmarkering"/>
          <w:sz w:val="16"/>
          <w:szCs w:val="16"/>
        </w:rPr>
        <w:footnoteRef/>
      </w:r>
      <w:r w:rsidRPr="00617F0D">
        <w:rPr>
          <w:sz w:val="16"/>
          <w:szCs w:val="16"/>
        </w:rPr>
        <w:t xml:space="preserve"> Kamerstuk 32 813 nr. 342. </w:t>
      </w:r>
    </w:p>
  </w:footnote>
  <w:footnote w:id="5">
    <w:p w:rsidR="00E24BF2" w:rsidRDefault="00E24BF2" w:rsidP="00E24BF2">
      <w:pPr>
        <w:pStyle w:val="Voetnoottekst"/>
      </w:pPr>
      <w:r w:rsidRPr="00617F0D">
        <w:rPr>
          <w:rStyle w:val="Voetnootmarkering"/>
          <w:sz w:val="16"/>
          <w:szCs w:val="16"/>
        </w:rPr>
        <w:footnoteRef/>
      </w:r>
      <w:r w:rsidRPr="00617F0D">
        <w:rPr>
          <w:sz w:val="16"/>
          <w:szCs w:val="16"/>
        </w:rPr>
        <w:t xml:space="preserve"> Mede naar aanleiding van de motie De Groot/Geurts/Dik-Faber/Weverling over versterking van de regie op de Noordzee (Kamerstuk 29664, nr. 182)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7F0D" w:rsidRDefault="00617F0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DB6" w:rsidRDefault="00AF0E95">
    <w:pPr>
      <w:pStyle w:val="MarginlessContainer"/>
    </w:pPr>
    <w:r>
      <w:rPr>
        <w:noProof/>
      </w:rPr>
      <mc:AlternateContent>
        <mc:Choice Requires="wps">
          <w:drawing>
            <wp:anchor distT="0" distB="0" distL="0" distR="0" simplePos="0" relativeHeight="251659264" behindDoc="0" locked="1" layoutInCell="1" allowOverlap="1" wp14:anchorId="54D7722F" wp14:editId="6844494B">
              <wp:simplePos x="0" y="0"/>
              <wp:positionH relativeFrom="page">
                <wp:posOffset>5903595</wp:posOffset>
              </wp:positionH>
              <wp:positionV relativeFrom="page">
                <wp:posOffset>1907539</wp:posOffset>
              </wp:positionV>
              <wp:extent cx="1259840" cy="7991475"/>
              <wp:effectExtent l="0" t="0" r="0" b="0"/>
              <wp:wrapNone/>
              <wp:docPr id="11"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rsidR="00EB0DB6" w:rsidRDefault="00AF0E95">
                          <w:pPr>
                            <w:pStyle w:val="AfzendgegevensKop"/>
                          </w:pPr>
                          <w:r>
                            <w:t>Ministerie van Infrastructuur en Waterstaat</w:t>
                          </w:r>
                        </w:p>
                        <w:p w:rsidR="00EB0DB6" w:rsidRDefault="001329AE">
                          <w:pPr>
                            <w:pStyle w:val="WitregelW2"/>
                          </w:pPr>
                        </w:p>
                        <w:p w:rsidR="00617F0D" w:rsidRDefault="00617F0D" w:rsidP="00617F0D">
                          <w:pPr>
                            <w:pStyle w:val="Referentiegegevenskop"/>
                          </w:pPr>
                          <w:r>
                            <w:t>Ons kenmerk</w:t>
                          </w:r>
                        </w:p>
                        <w:p w:rsidR="00617F0D" w:rsidRPr="00617F0D" w:rsidRDefault="008E1E40" w:rsidP="00617F0D">
                          <w:pPr>
                            <w:rPr>
                              <w:sz w:val="13"/>
                              <w:szCs w:val="13"/>
                              <w:lang w:val="nl-NL" w:eastAsia="nl-NL"/>
                            </w:rPr>
                          </w:pPr>
                          <w:r>
                            <w:rPr>
                              <w:sz w:val="13"/>
                              <w:szCs w:val="13"/>
                              <w:lang w:val="nl-NL" w:eastAsia="nl-NL"/>
                            </w:rPr>
                            <w:t>IENW/BSK-2020/117237</w:t>
                          </w:r>
                        </w:p>
                        <w:p w:rsidR="00EB0DB6" w:rsidRDefault="001329AE" w:rsidP="00617F0D">
                          <w:pPr>
                            <w:pStyle w:val="Referentiegegevenskop"/>
                          </w:pPr>
                        </w:p>
                      </w:txbxContent>
                    </wps:txbx>
                    <wps:bodyPr vert="horz" wrap="square" lIns="0" tIns="0" rIns="0" bIns="0" anchor="t" anchorCtr="0"/>
                  </wps:wsp>
                </a:graphicData>
              </a:graphic>
            </wp:anchor>
          </w:drawing>
        </mc:Choice>
        <mc:Fallback>
          <w:pict>
            <v:shapetype w14:anchorId="54D7722F"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fvi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Y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Zn74qcBAAAzAwAADgAAAAAAAAAAAAAAAAAuAgAAZHJzL2Uyb0RvYy54bWxQSwEC&#10;LQAUAAYACAAAACEAi/8RiuIAAAANAQAADwAAAAAAAAAAAAAAAAABBAAAZHJzL2Rvd25yZXYueG1s&#10;UEsFBgAAAAAEAAQA8wAAABAFAAAAAA==&#10;" filled="f" stroked="f">
              <v:textbox inset="0,0,0,0">
                <w:txbxContent>
                  <w:p w:rsidR="00EB0DB6" w:rsidRDefault="00AF0E95">
                    <w:pPr>
                      <w:pStyle w:val="AfzendgegevensKop"/>
                    </w:pPr>
                    <w:r>
                      <w:t>Ministerie van Infrastructuur en Waterstaat</w:t>
                    </w:r>
                  </w:p>
                  <w:p w:rsidR="00EB0DB6" w:rsidRDefault="008E1E40">
                    <w:pPr>
                      <w:pStyle w:val="WitregelW2"/>
                    </w:pPr>
                  </w:p>
                  <w:p w:rsidR="00617F0D" w:rsidRDefault="00617F0D" w:rsidP="00617F0D">
                    <w:pPr>
                      <w:pStyle w:val="Referentiegegevenskop"/>
                    </w:pPr>
                    <w:r>
                      <w:t>Ons kenmerk</w:t>
                    </w:r>
                  </w:p>
                  <w:p w:rsidR="00617F0D" w:rsidRPr="00617F0D" w:rsidRDefault="008E1E40" w:rsidP="00617F0D">
                    <w:pPr>
                      <w:rPr>
                        <w:sz w:val="13"/>
                        <w:szCs w:val="13"/>
                        <w:lang w:val="nl-NL" w:eastAsia="nl-NL"/>
                      </w:rPr>
                    </w:pPr>
                    <w:r>
                      <w:rPr>
                        <w:sz w:val="13"/>
                        <w:szCs w:val="13"/>
                        <w:lang w:val="nl-NL" w:eastAsia="nl-NL"/>
                      </w:rPr>
                      <w:t>IENW/BSK-2020/117237</w:t>
                    </w:r>
                  </w:p>
                  <w:p w:rsidR="00EB0DB6" w:rsidRDefault="008E1E40" w:rsidP="00617F0D">
                    <w:pPr>
                      <w:pStyle w:val="Referentiegegevenskop"/>
                    </w:pP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EBCA262" wp14:editId="45AE3ECD">
              <wp:simplePos x="0" y="0"/>
              <wp:positionH relativeFrom="page">
                <wp:posOffset>5903595</wp:posOffset>
              </wp:positionH>
              <wp:positionV relativeFrom="page">
                <wp:posOffset>10223500</wp:posOffset>
              </wp:positionV>
              <wp:extent cx="1257300" cy="180975"/>
              <wp:effectExtent l="0" t="0" r="0" b="0"/>
              <wp:wrapNone/>
              <wp:docPr id="12"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rsidR="00EB0DB6" w:rsidRDefault="00AF0E95">
                          <w:pPr>
                            <w:pStyle w:val="Referentiegegevens"/>
                          </w:pPr>
                          <w:r>
                            <w:t xml:space="preserve">Pagina </w:t>
                          </w:r>
                          <w:r>
                            <w:fldChar w:fldCharType="begin"/>
                          </w:r>
                          <w:r>
                            <w:instrText>PAGE</w:instrText>
                          </w:r>
                          <w:r>
                            <w:fldChar w:fldCharType="separate"/>
                          </w:r>
                          <w:r w:rsidR="00235D29">
                            <w:rPr>
                              <w:noProof/>
                            </w:rPr>
                            <w:t>2</w:t>
                          </w:r>
                          <w:r>
                            <w:fldChar w:fldCharType="end"/>
                          </w:r>
                          <w:r>
                            <w:t xml:space="preserve"> van </w:t>
                          </w:r>
                          <w:r>
                            <w:fldChar w:fldCharType="begin"/>
                          </w:r>
                          <w:r>
                            <w:instrText>NUMPAGES</w:instrText>
                          </w:r>
                          <w:r>
                            <w:fldChar w:fldCharType="separate"/>
                          </w:r>
                          <w:r w:rsidR="00235D29">
                            <w:rPr>
                              <w:noProof/>
                            </w:rPr>
                            <w:t>3</w:t>
                          </w:r>
                          <w:r>
                            <w:fldChar w:fldCharType="end"/>
                          </w:r>
                        </w:p>
                      </w:txbxContent>
                    </wps:txbx>
                    <wps:bodyPr vert="horz" wrap="square" lIns="0" tIns="0" rIns="0" bIns="0" anchor="t" anchorCtr="0"/>
                  </wps:wsp>
                </a:graphicData>
              </a:graphic>
            </wp:anchor>
          </w:drawing>
        </mc:Choice>
        <mc:Fallback>
          <w:pict>
            <v:shapetype w14:anchorId="1EBCA262" id="_x0000_t202" coordsize="21600,21600" o:spt="202" path="m,l,21600r21600,l21600,xe">
              <v:stroke joinstyle="miter"/>
              <v:path gradientshapeok="t" o:connecttype="rect"/>
            </v:shapetype>
            <v:shape id="Paginanummer_3" o:spid="_x0000_s1027" type="#_x0000_t202" style="position:absolute;margin-left:464.85pt;margin-top:805pt;width:99pt;height:14.2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NoIgjKsBAAA+AwAADgAAAAAAAAAAAAAAAAAuAgAAZHJzL2Uyb0RvYy54bWxQ&#10;SwECLQAUAAYACAAAACEAU+ADVuEAAAAOAQAADwAAAAAAAAAAAAAAAAAFBAAAZHJzL2Rvd25yZXYu&#10;eG1sUEsFBgAAAAAEAAQA8wAAABMFAAAAAA==&#10;" filled="f" stroked="f">
              <v:textbox inset="0,0,0,0">
                <w:txbxContent>
                  <w:p w:rsidR="00EB0DB6" w:rsidRDefault="00AF0E95">
                    <w:pPr>
                      <w:pStyle w:val="Referentiegegevens"/>
                    </w:pPr>
                    <w:r>
                      <w:t xml:space="preserve">Pagina </w:t>
                    </w:r>
                    <w:r>
                      <w:fldChar w:fldCharType="begin"/>
                    </w:r>
                    <w:r>
                      <w:instrText>PAGE</w:instrText>
                    </w:r>
                    <w:r>
                      <w:fldChar w:fldCharType="separate"/>
                    </w:r>
                    <w:r w:rsidR="00235D29">
                      <w:rPr>
                        <w:noProof/>
                      </w:rPr>
                      <w:t>2</w:t>
                    </w:r>
                    <w:r>
                      <w:fldChar w:fldCharType="end"/>
                    </w:r>
                    <w:r>
                      <w:t xml:space="preserve"> van </w:t>
                    </w:r>
                    <w:r>
                      <w:fldChar w:fldCharType="begin"/>
                    </w:r>
                    <w:r>
                      <w:instrText>NUMPAGES</w:instrText>
                    </w:r>
                    <w:r>
                      <w:fldChar w:fldCharType="separate"/>
                    </w:r>
                    <w:r w:rsidR="00235D29">
                      <w:rPr>
                        <w:noProof/>
                      </w:rPr>
                      <w:t>3</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8AC16F6" wp14:editId="0CF9C911">
              <wp:simplePos x="0" y="0"/>
              <wp:positionH relativeFrom="page">
                <wp:posOffset>1007744</wp:posOffset>
              </wp:positionH>
              <wp:positionV relativeFrom="page">
                <wp:posOffset>10223500</wp:posOffset>
              </wp:positionV>
              <wp:extent cx="1800225" cy="180975"/>
              <wp:effectExtent l="0" t="0" r="0" b="0"/>
              <wp:wrapNone/>
              <wp:docPr id="13"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rsidR="00EB0DB6" w:rsidRDefault="001329AE"/>
                      </w:txbxContent>
                    </wps:txbx>
                    <wps:bodyPr vert="horz" wrap="square" lIns="0" tIns="0" rIns="0" bIns="0" anchor="t" anchorCtr="0"/>
                  </wps:wsp>
                </a:graphicData>
              </a:graphic>
            </wp:anchor>
          </w:drawing>
        </mc:Choice>
        <mc:Fallback>
          <w:pict>
            <v:shape w14:anchorId="48AC16F6" id="Rubricering onder vervolgpagina" o:spid="_x0000_s1028" type="#_x0000_t202" style="position:absolute;margin-left:79.35pt;margin-top:805pt;width:141.75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C6OtAEAAE8DAAAOAAAAZHJzL2Uyb0RvYy54bWysU8Fu1DAQvSP1Hyzfu0lTFU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AJQujrQBAABPAwAADgAAAAAAAAAAAAAAAAAuAgAAZHJzL2Uy&#10;b0RvYy54bWxQSwECLQAUAAYACAAAACEAJo7baOEAAAANAQAADwAAAAAAAAAAAAAAAAAOBAAAZHJz&#10;L2Rvd25yZXYueG1sUEsFBgAAAAAEAAQA8wAAABwFAAAAAA==&#10;" filled="f" stroked="f">
              <v:textbox inset="0,0,0,0">
                <w:txbxContent>
                  <w:p w:rsidR="00EB0DB6" w:rsidRDefault="00AF0E95"/>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5A341A7" wp14:editId="431A9183">
              <wp:simplePos x="0" y="0"/>
              <wp:positionH relativeFrom="page">
                <wp:posOffset>1007744</wp:posOffset>
              </wp:positionH>
              <wp:positionV relativeFrom="page">
                <wp:posOffset>1199515</wp:posOffset>
              </wp:positionV>
              <wp:extent cx="2381250" cy="285750"/>
              <wp:effectExtent l="0" t="0" r="0" b="0"/>
              <wp:wrapNone/>
              <wp:docPr id="14"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rsidR="00EB0DB6" w:rsidRDefault="001329AE"/>
                      </w:txbxContent>
                    </wps:txbx>
                    <wps:bodyPr vert="horz" wrap="square" lIns="0" tIns="0" rIns="0" bIns="0" anchor="t" anchorCtr="0"/>
                  </wps:wsp>
                </a:graphicData>
              </a:graphic>
            </wp:anchor>
          </w:drawing>
        </mc:Choice>
        <mc:Fallback>
          <w:pict>
            <v:shape w14:anchorId="65A341A7" id="Merking vervolgpagina" o:spid="_x0000_s1029" type="#_x0000_t202" style="position:absolute;margin-left:79.35pt;margin-top:94.45pt;width:187.5pt;height:22.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&#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BC/qua8BAABFAwAADgAAAAAAAAAAAAAAAAAuAgAAZHJzL2Uyb0RvYy54&#10;bWxQSwECLQAUAAYACAAAACEAPPsda+AAAAALAQAADwAAAAAAAAAAAAAAAAAJBAAAZHJzL2Rvd25y&#10;ZXYueG1sUEsFBgAAAAAEAAQA8wAAABYFAAAAAA==&#10;" filled="f" stroked="f">
              <v:textbox inset="0,0,0,0">
                <w:txbxContent>
                  <w:p w:rsidR="00EB0DB6" w:rsidRDefault="00AF0E95"/>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DB6" w:rsidRDefault="00AF0E95">
    <w:pPr>
      <w:pStyle w:val="MarginlessContainer"/>
      <w:spacing w:after="7029" w:line="14" w:lineRule="exact"/>
    </w:pPr>
    <w:r>
      <w:rPr>
        <w:noProof/>
      </w:rPr>
      <mc:AlternateContent>
        <mc:Choice Requires="wps">
          <w:drawing>
            <wp:anchor distT="0" distB="0" distL="0" distR="0" simplePos="0" relativeHeight="251663360" behindDoc="0" locked="1" layoutInCell="1" allowOverlap="1" wp14:anchorId="6D4D335E" wp14:editId="45B882C0">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rsidR="00EB0DB6" w:rsidRDefault="001329AE"/>
                      </w:txbxContent>
                    </wps:txbx>
                    <wps:bodyPr vert="horz" wrap="square" lIns="0" tIns="0" rIns="0" bIns="0" anchor="t" anchorCtr="0"/>
                  </wps:wsp>
                </a:graphicData>
              </a:graphic>
            </wp:anchor>
          </w:drawing>
        </mc:Choice>
        <mc:Fallback>
          <w:pict>
            <v:shapetype w14:anchorId="6D4D335E"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" filled="f" stroked="f">
              <v:textbox inset="0,0,0,0">
                <w:txbxContent>
                  <w:p w:rsidR="00EB0DB6" w:rsidRDefault="00AF0E95"/>
                </w:txbxContent>
              </v:textbox>
              <w10:wrap anchorx="page" anchory="page"/>
              <w10:anchorlock/>
            </v:shape>
          </w:pict>
        </mc:Fallback>
      </mc:AlternateContent>
    </w:r>
    <w:r>
      <w:rPr>
        <w:noProof/>
      </w:rPr>
      <mc:AlternateContent>
        <mc:Choice Requires="wps">
          <w:drawing>
            <wp:anchor distT="0" distB="0" distL="0" distR="0" simplePos="0" relativeHeight="251664384" behindDoc="0" locked="1" layoutInCell="1" allowOverlap="1" wp14:anchorId="527CE547" wp14:editId="1C74B35B">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rsidR="00EB0DB6" w:rsidRDefault="00AF0E95">
                          <w:pPr>
                            <w:pStyle w:val="Referentiegegevens"/>
                          </w:pPr>
                          <w:r>
                            <w:t xml:space="preserve">Pagina </w:t>
                          </w:r>
                          <w:r>
                            <w:fldChar w:fldCharType="begin"/>
                          </w:r>
                          <w:r>
                            <w:instrText>PAGE</w:instrText>
                          </w:r>
                          <w:r>
                            <w:fldChar w:fldCharType="separate"/>
                          </w:r>
                          <w:r w:rsidR="00235D29">
                            <w:rPr>
                              <w:noProof/>
                            </w:rPr>
                            <w:t>1</w:t>
                          </w:r>
                          <w:r>
                            <w:fldChar w:fldCharType="end"/>
                          </w:r>
                          <w:r>
                            <w:t xml:space="preserve"> van </w:t>
                          </w:r>
                          <w:r>
                            <w:fldChar w:fldCharType="begin"/>
                          </w:r>
                          <w:r>
                            <w:instrText>NUMPAGES</w:instrText>
                          </w:r>
                          <w:r>
                            <w:fldChar w:fldCharType="separate"/>
                          </w:r>
                          <w:r w:rsidR="00235D29">
                            <w:rPr>
                              <w:noProof/>
                            </w:rPr>
                            <w:t>3</w:t>
                          </w:r>
                          <w:r>
                            <w:fldChar w:fldCharType="end"/>
                          </w:r>
                        </w:p>
                      </w:txbxContent>
                    </wps:txbx>
                    <wps:bodyPr vert="horz" wrap="square" lIns="0" tIns="0" rIns="0" bIns="0" anchor="t" anchorCtr="0"/>
                  </wps:wsp>
                </a:graphicData>
              </a:graphic>
            </wp:anchor>
          </w:drawing>
        </mc:Choice>
        <mc:Fallback>
          <w:pict>
            <v:shapetype w14:anchorId="527CE547" id="_x0000_t202" coordsize="21600,21600" o:spt="202" path="m,l,21600r21600,l21600,xe">
              <v:stroke joinstyle="miter"/>
              <v:path gradientshapeok="t" o:connecttype="rect"/>
            </v:shapetype>
            <v:shape id="Paginanummer_2" o:spid="_x0000_s1031" type="#_x0000_t202" style="position:absolute;margin-left:466.25pt;margin-top:805pt;width:99pt;height:14.2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wCj3b6sBAAA9AwAADgAAAAAAAAAAAAAAAAAuAgAAZHJzL2Uyb0RvYy54bWxQ&#10;SwECLQAUAAYACAAAACEAWk66ieEAAAAOAQAADwAAAAAAAAAAAAAAAAAFBAAAZHJzL2Rvd25yZXYu&#10;eG1sUEsFBgAAAAAEAAQA8wAAABMFAAAAAA==&#10;" filled="f" stroked="f">
              <v:textbox inset="0,0,0,0">
                <w:txbxContent>
                  <w:p w:rsidR="00EB0DB6" w:rsidRDefault="00AF0E95">
                    <w:pPr>
                      <w:pStyle w:val="Referentiegegevens"/>
                    </w:pPr>
                    <w:r>
                      <w:t xml:space="preserve">Pagina </w:t>
                    </w:r>
                    <w:r>
                      <w:fldChar w:fldCharType="begin"/>
                    </w:r>
                    <w:r>
                      <w:instrText>PAGE</w:instrText>
                    </w:r>
                    <w:r>
                      <w:fldChar w:fldCharType="separate"/>
                    </w:r>
                    <w:r w:rsidR="00235D29">
                      <w:rPr>
                        <w:noProof/>
                      </w:rPr>
                      <w:t>1</w:t>
                    </w:r>
                    <w:r>
                      <w:fldChar w:fldCharType="end"/>
                    </w:r>
                    <w:r>
                      <w:t xml:space="preserve"> van </w:t>
                    </w:r>
                    <w:r>
                      <w:fldChar w:fldCharType="begin"/>
                    </w:r>
                    <w:r>
                      <w:instrText>NUMPAGES</w:instrText>
                    </w:r>
                    <w:r>
                      <w:fldChar w:fldCharType="separate"/>
                    </w:r>
                    <w:r w:rsidR="00235D29">
                      <w:rPr>
                        <w:noProof/>
                      </w:rPr>
                      <w:t>3</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5408" behindDoc="0" locked="1" layoutInCell="1" allowOverlap="1" wp14:anchorId="44116660" wp14:editId="6A91532E">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rsidR="00EB0DB6" w:rsidRDefault="00AF0E95">
                          <w:pPr>
                            <w:pStyle w:val="AfzendgegevensKop"/>
                          </w:pPr>
                          <w:r>
                            <w:t>Ministerie van Infrastructuur en Waterstaat</w:t>
                          </w:r>
                        </w:p>
                        <w:p w:rsidR="00EB0DB6" w:rsidRDefault="001329AE">
                          <w:pPr>
                            <w:pStyle w:val="WitregelW1"/>
                          </w:pPr>
                        </w:p>
                        <w:p w:rsidR="00EB0DB6" w:rsidRDefault="00AF0E95">
                          <w:pPr>
                            <w:pStyle w:val="Afzendgegevens"/>
                          </w:pPr>
                          <w:r>
                            <w:t>Rijnstraat 8</w:t>
                          </w:r>
                        </w:p>
                        <w:p w:rsidR="00EB0DB6" w:rsidRPr="00885644" w:rsidRDefault="00AF0E95">
                          <w:pPr>
                            <w:pStyle w:val="Afzendgegevens"/>
                            <w:rPr>
                              <w:lang w:val="de-DE"/>
                            </w:rPr>
                          </w:pPr>
                          <w:r w:rsidRPr="00885644">
                            <w:rPr>
                              <w:lang w:val="de-DE"/>
                            </w:rPr>
                            <w:t>2515 XP  Den Haag</w:t>
                          </w:r>
                        </w:p>
                        <w:p w:rsidR="00EB0DB6" w:rsidRPr="00885644" w:rsidRDefault="00AF0E95">
                          <w:pPr>
                            <w:pStyle w:val="Afzendgegevens"/>
                            <w:rPr>
                              <w:lang w:val="de-DE"/>
                            </w:rPr>
                          </w:pPr>
                          <w:r w:rsidRPr="00885644">
                            <w:rPr>
                              <w:lang w:val="de-DE"/>
                            </w:rPr>
                            <w:t>Postbus 20901</w:t>
                          </w:r>
                        </w:p>
                        <w:p w:rsidR="00EB0DB6" w:rsidRPr="00885644" w:rsidRDefault="00AF0E95">
                          <w:pPr>
                            <w:pStyle w:val="Afzendgegevens"/>
                            <w:rPr>
                              <w:lang w:val="de-DE"/>
                            </w:rPr>
                          </w:pPr>
                          <w:r w:rsidRPr="00885644">
                            <w:rPr>
                              <w:lang w:val="de-DE"/>
                            </w:rPr>
                            <w:t>2500 EX Den Haag</w:t>
                          </w:r>
                        </w:p>
                        <w:p w:rsidR="00EB0DB6" w:rsidRPr="00885644" w:rsidRDefault="001329AE">
                          <w:pPr>
                            <w:pStyle w:val="WitregelW1"/>
                            <w:rPr>
                              <w:lang w:val="de-DE"/>
                            </w:rPr>
                          </w:pPr>
                        </w:p>
                        <w:p w:rsidR="00EB0DB6" w:rsidRPr="00885644" w:rsidRDefault="00AF0E95">
                          <w:pPr>
                            <w:pStyle w:val="Afzendgegevens"/>
                            <w:rPr>
                              <w:lang w:val="de-DE"/>
                            </w:rPr>
                          </w:pPr>
                          <w:r w:rsidRPr="00885644">
                            <w:rPr>
                              <w:lang w:val="de-DE"/>
                            </w:rPr>
                            <w:t>T   070-456 0000</w:t>
                          </w:r>
                        </w:p>
                        <w:p w:rsidR="00EB0DB6" w:rsidRDefault="00AF0E95">
                          <w:pPr>
                            <w:pStyle w:val="Afzendgegevens"/>
                          </w:pPr>
                          <w:r>
                            <w:t>F   070-456 1111</w:t>
                          </w:r>
                        </w:p>
                        <w:p w:rsidR="00EB0DB6" w:rsidRDefault="001329AE">
                          <w:pPr>
                            <w:pStyle w:val="WitregelW2"/>
                          </w:pPr>
                        </w:p>
                        <w:p w:rsidR="00EB0DB6" w:rsidRDefault="00AF0E95">
                          <w:pPr>
                            <w:pStyle w:val="Referentiegegevenskop"/>
                          </w:pPr>
                          <w:r>
                            <w:t>Ons kenmerk</w:t>
                          </w:r>
                        </w:p>
                        <w:p w:rsidR="00617F0D" w:rsidRPr="00617F0D" w:rsidRDefault="008E1E40" w:rsidP="00617F0D">
                          <w:pPr>
                            <w:rPr>
                              <w:sz w:val="13"/>
                              <w:szCs w:val="13"/>
                              <w:lang w:val="nl-NL" w:eastAsia="nl-NL"/>
                            </w:rPr>
                          </w:pPr>
                          <w:r>
                            <w:rPr>
                              <w:sz w:val="13"/>
                              <w:szCs w:val="13"/>
                              <w:lang w:val="nl-NL" w:eastAsia="nl-NL"/>
                            </w:rPr>
                            <w:t>IENW/BSK-2020/117237</w:t>
                          </w:r>
                        </w:p>
                        <w:p w:rsidR="00EB0DB6" w:rsidRDefault="001329AE">
                          <w:pPr>
                            <w:pStyle w:val="WitregelW1"/>
                          </w:pPr>
                        </w:p>
                        <w:p w:rsidR="00EB0DB6" w:rsidRDefault="00AF0E95">
                          <w:pPr>
                            <w:pStyle w:val="Referentiegegevenskop"/>
                          </w:pPr>
                          <w:r>
                            <w:t>Bijlage(n)</w:t>
                          </w:r>
                        </w:p>
                        <w:p w:rsidR="00EB0DB6" w:rsidRDefault="00AF0E95">
                          <w:pPr>
                            <w:pStyle w:val="Referentiegegevens"/>
                          </w:pPr>
                          <w:r>
                            <w:t>1</w:t>
                          </w:r>
                        </w:p>
                      </w:txbxContent>
                    </wps:txbx>
                    <wps:bodyPr vert="horz" wrap="square" lIns="0" tIns="0" rIns="0" bIns="0" anchor="t" anchorCtr="0"/>
                  </wps:wsp>
                </a:graphicData>
              </a:graphic>
            </wp:anchor>
          </w:drawing>
        </mc:Choice>
        <mc:Fallback>
          <w:pict>
            <v:shape w14:anchorId="44116660" id="Colofon_2" o:spid="_x0000_s1032" type="#_x0000_t202" style="position:absolute;margin-left:466.25pt;margin-top:153.05pt;width:99.2pt;height:630.7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C5sjLFqQEAADkDAAAOAAAAAAAAAAAAAAAAAC4CAABkcnMvZTJvRG9jLnhtbFBL&#10;AQItABQABgAIAAAAIQAjtp0b4gAAAA0BAAAPAAAAAAAAAAAAAAAAAAMEAABkcnMvZG93bnJldi54&#10;bWxQSwUGAAAAAAQABADzAAAAEgUAAAAA&#10;" filled="f" stroked="f">
              <v:textbox inset="0,0,0,0">
                <w:txbxContent>
                  <w:p w:rsidR="00EB0DB6" w:rsidRDefault="00AF0E95">
                    <w:pPr>
                      <w:pStyle w:val="AfzendgegevensKop"/>
                    </w:pPr>
                    <w:r>
                      <w:t>Ministerie van Infrastructuur en Waterstaat</w:t>
                    </w:r>
                  </w:p>
                  <w:p w:rsidR="00EB0DB6" w:rsidRDefault="008E1E40">
                    <w:pPr>
                      <w:pStyle w:val="WitregelW1"/>
                    </w:pPr>
                  </w:p>
                  <w:p w:rsidR="00EB0DB6" w:rsidRDefault="00AF0E95">
                    <w:pPr>
                      <w:pStyle w:val="Afzendgegevens"/>
                    </w:pPr>
                    <w:r>
                      <w:t>Rijnstraat 8</w:t>
                    </w:r>
                  </w:p>
                  <w:p w:rsidR="00EB0DB6" w:rsidRPr="00885644" w:rsidRDefault="00AF0E95">
                    <w:pPr>
                      <w:pStyle w:val="Afzendgegevens"/>
                      <w:rPr>
                        <w:lang w:val="de-DE"/>
                      </w:rPr>
                    </w:pPr>
                    <w:r w:rsidRPr="00885644">
                      <w:rPr>
                        <w:lang w:val="de-DE"/>
                      </w:rPr>
                      <w:t xml:space="preserve">2515 </w:t>
                    </w:r>
                    <w:proofErr w:type="gramStart"/>
                    <w:r w:rsidRPr="00885644">
                      <w:rPr>
                        <w:lang w:val="de-DE"/>
                      </w:rPr>
                      <w:t>XP  Den</w:t>
                    </w:r>
                    <w:proofErr w:type="gramEnd"/>
                    <w:r w:rsidRPr="00885644">
                      <w:rPr>
                        <w:lang w:val="de-DE"/>
                      </w:rPr>
                      <w:t xml:space="preserve"> Haag</w:t>
                    </w:r>
                  </w:p>
                  <w:p w:rsidR="00EB0DB6" w:rsidRPr="00885644" w:rsidRDefault="00AF0E95">
                    <w:pPr>
                      <w:pStyle w:val="Afzendgegevens"/>
                      <w:rPr>
                        <w:lang w:val="de-DE"/>
                      </w:rPr>
                    </w:pPr>
                    <w:r w:rsidRPr="00885644">
                      <w:rPr>
                        <w:lang w:val="de-DE"/>
                      </w:rPr>
                      <w:t>Postbus 20901</w:t>
                    </w:r>
                  </w:p>
                  <w:p w:rsidR="00EB0DB6" w:rsidRPr="00885644" w:rsidRDefault="00AF0E95">
                    <w:pPr>
                      <w:pStyle w:val="Afzendgegevens"/>
                      <w:rPr>
                        <w:lang w:val="de-DE"/>
                      </w:rPr>
                    </w:pPr>
                    <w:r w:rsidRPr="00885644">
                      <w:rPr>
                        <w:lang w:val="de-DE"/>
                      </w:rPr>
                      <w:t>2500 EX Den Haag</w:t>
                    </w:r>
                  </w:p>
                  <w:p w:rsidR="00EB0DB6" w:rsidRPr="00885644" w:rsidRDefault="008E1E40">
                    <w:pPr>
                      <w:pStyle w:val="WitregelW1"/>
                      <w:rPr>
                        <w:lang w:val="de-DE"/>
                      </w:rPr>
                    </w:pPr>
                  </w:p>
                  <w:p w:rsidR="00EB0DB6" w:rsidRPr="00885644" w:rsidRDefault="00AF0E95">
                    <w:pPr>
                      <w:pStyle w:val="Afzendgegevens"/>
                      <w:rPr>
                        <w:lang w:val="de-DE"/>
                      </w:rPr>
                    </w:pPr>
                    <w:r w:rsidRPr="00885644">
                      <w:rPr>
                        <w:lang w:val="de-DE"/>
                      </w:rPr>
                      <w:t>T   070-456 0000</w:t>
                    </w:r>
                  </w:p>
                  <w:p w:rsidR="00EB0DB6" w:rsidRDefault="00AF0E95">
                    <w:pPr>
                      <w:pStyle w:val="Afzendgegevens"/>
                    </w:pPr>
                    <w:r>
                      <w:t>F   070-456 1111</w:t>
                    </w:r>
                  </w:p>
                  <w:p w:rsidR="00EB0DB6" w:rsidRDefault="008E1E40">
                    <w:pPr>
                      <w:pStyle w:val="WitregelW2"/>
                    </w:pPr>
                  </w:p>
                  <w:p w:rsidR="00EB0DB6" w:rsidRDefault="00AF0E95">
                    <w:pPr>
                      <w:pStyle w:val="Referentiegegevenskop"/>
                    </w:pPr>
                    <w:r>
                      <w:t>Ons kenmerk</w:t>
                    </w:r>
                  </w:p>
                  <w:p w:rsidR="00617F0D" w:rsidRPr="00617F0D" w:rsidRDefault="008E1E40" w:rsidP="00617F0D">
                    <w:pPr>
                      <w:rPr>
                        <w:sz w:val="13"/>
                        <w:szCs w:val="13"/>
                        <w:lang w:val="nl-NL" w:eastAsia="nl-NL"/>
                      </w:rPr>
                    </w:pPr>
                    <w:r>
                      <w:rPr>
                        <w:sz w:val="13"/>
                        <w:szCs w:val="13"/>
                        <w:lang w:val="nl-NL" w:eastAsia="nl-NL"/>
                      </w:rPr>
                      <w:t>IENW/BSK-2020/117237</w:t>
                    </w:r>
                  </w:p>
                  <w:p w:rsidR="00EB0DB6" w:rsidRDefault="008E1E40">
                    <w:pPr>
                      <w:pStyle w:val="WitregelW1"/>
                    </w:pPr>
                  </w:p>
                  <w:p w:rsidR="00EB0DB6" w:rsidRDefault="00AF0E95">
                    <w:pPr>
                      <w:pStyle w:val="Referentiegegevenskop"/>
                    </w:pPr>
                    <w:r>
                      <w:t>Bijlage(n)</w:t>
                    </w:r>
                  </w:p>
                  <w:p w:rsidR="00EB0DB6" w:rsidRDefault="00AF0E95">
                    <w:pPr>
                      <w:pStyle w:val="Referentiegegevens"/>
                    </w:pPr>
                    <w:r>
                      <w:t>1</w:t>
                    </w:r>
                    <w:bookmarkStart w:id="1" w:name="_GoBack"/>
                    <w:bookmarkEnd w:id="1"/>
                  </w:p>
                </w:txbxContent>
              </v:textbox>
              <w10:wrap anchorx="page" anchory="page"/>
              <w10:anchorlock/>
            </v:shape>
          </w:pict>
        </mc:Fallback>
      </mc:AlternateContent>
    </w:r>
    <w:r>
      <w:rPr>
        <w:noProof/>
      </w:rPr>
      <mc:AlternateContent>
        <mc:Choice Requires="wps">
          <w:drawing>
            <wp:anchor distT="0" distB="0" distL="0" distR="0" simplePos="0" relativeHeight="251666432" behindDoc="0" locked="1" layoutInCell="1" allowOverlap="1" wp14:anchorId="6430F189" wp14:editId="44AF0F34">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rsidR="00EB0DB6" w:rsidRDefault="001329AE"/>
                      </w:txbxContent>
                    </wps:txbx>
                    <wps:bodyPr vert="horz" wrap="square" lIns="0" tIns="0" rIns="0" bIns="0" anchor="t" anchorCtr="0"/>
                  </wps:wsp>
                </a:graphicData>
              </a:graphic>
            </wp:anchor>
          </w:drawing>
        </mc:Choice>
        <mc:Fallback>
          <w:pict>
            <v:shape w14:anchorId="6430F189" id="lint_2" o:spid="_x0000_s1033" type="#_x0000_t202" style="position:absolute;margin-left:277.75pt;margin-top:0;width:36.85pt;height:124.7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CqX5SSqAEAADUDAAAOAAAAAAAAAAAAAAAAAC4CAABkcnMvZTJvRG9jLnhtbFBLAQItABQA&#10;BgAIAAAAIQAGoydU3QAAAAgBAAAPAAAAAAAAAAAAAAAAAAIEAABkcnMvZG93bnJldi54bWxQSwUG&#10;AAAAAAQABADzAAAADAUAAAAA&#10;" filled="f" stroked="f">
              <v:textbox inset="0,0,0,0">
                <w:txbxContent>
                  <w:p w:rsidR="00EB0DB6" w:rsidRDefault="00AF0E95"/>
                </w:txbxContent>
              </v:textbox>
              <w10:wrap anchorx="page" anchory="page"/>
              <w10:anchorlock/>
            </v:shape>
          </w:pict>
        </mc:Fallback>
      </mc:AlternateContent>
    </w:r>
    <w:r>
      <w:rPr>
        <w:noProof/>
      </w:rPr>
      <mc:AlternateContent>
        <mc:Choice Requires="wps">
          <w:drawing>
            <wp:anchor distT="0" distB="0" distL="0" distR="0" simplePos="0" relativeHeight="251667456" behindDoc="0" locked="1" layoutInCell="1" allowOverlap="1" wp14:anchorId="0AE71017" wp14:editId="5D60FFCC">
              <wp:simplePos x="0" y="0"/>
              <wp:positionH relativeFrom="page">
                <wp:posOffset>3995420</wp:posOffset>
              </wp:positionH>
              <wp:positionV relativeFrom="page">
                <wp:posOffset>0</wp:posOffset>
              </wp:positionV>
              <wp:extent cx="2339975" cy="1583690"/>
              <wp:effectExtent l="0" t="0" r="0" b="0"/>
              <wp:wrapNone/>
              <wp:docPr id="5"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rsidR="00EB0DB6" w:rsidRDefault="00AF0E95">
                          <w:pPr>
                            <w:pStyle w:val="MarginlessContainer"/>
                          </w:pPr>
                          <w:r>
                            <w:rPr>
                              <w:noProof/>
                            </w:rPr>
                            <w:drawing>
                              <wp:inline distT="0" distB="0" distL="0" distR="0" wp14:anchorId="4747EDF3" wp14:editId="2D8060F0">
                                <wp:extent cx="2339975" cy="1582834"/>
                                <wp:effectExtent l="0" t="0" r="0" b="0"/>
                                <wp:docPr id="6" name="IENM_Brief_aan_Parlement"/>
                                <wp:cNvGraphicFramePr/>
                                <a:graphic xmlns:a="http://schemas.openxmlformats.org/drawingml/2006/main">
                                  <a:graphicData uri="http://schemas.openxmlformats.org/drawingml/2006/picture">
                                    <pic:pic xmlns:pic="http://schemas.openxmlformats.org/drawingml/2006/picture">
                                      <pic:nvPicPr>
                                        <pic:cNvPr id="6" name="IENM_Brief_aan_Parlement"/>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AE71017" id="Woordmerk_2" o:spid="_x0000_s1034" type="#_x0000_t202" style="position:absolute;margin-left:314.6pt;margin-top:0;width:184.25pt;height:124.7pt;z-index:25166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nD83pK4BAAA7AwAADgAAAAAAAAAAAAAAAAAuAgAAZHJzL2Uyb0RvYy54bWxQ&#10;SwECLQAUAAYACAAAACEAWMNnP94AAAAIAQAADwAAAAAAAAAAAAAAAAAIBAAAZHJzL2Rvd25yZXYu&#10;eG1sUEsFBgAAAAAEAAQA8wAAABMFAAAAAA==&#10;" filled="f" stroked="f">
              <v:textbox inset="0,0,0,0">
                <w:txbxContent>
                  <w:p w:rsidR="00EB0DB6" w:rsidRDefault="00AF0E95">
                    <w:pPr>
                      <w:pStyle w:val="MarginlessContainer"/>
                    </w:pPr>
                    <w:r>
                      <w:rPr>
                        <w:noProof/>
                      </w:rPr>
                      <w:drawing>
                        <wp:inline distT="0" distB="0" distL="0" distR="0" wp14:anchorId="4747EDF3" wp14:editId="2D8060F0">
                          <wp:extent cx="2339975" cy="1582834"/>
                          <wp:effectExtent l="0" t="0" r="0" b="0"/>
                          <wp:docPr id="6" name="IENM_Brief_aan_Parlement"/>
                          <wp:cNvGraphicFramePr/>
                          <a:graphic xmlns:a="http://schemas.openxmlformats.org/drawingml/2006/main">
                            <a:graphicData uri="http://schemas.openxmlformats.org/drawingml/2006/picture">
                              <pic:pic xmlns:pic="http://schemas.openxmlformats.org/drawingml/2006/picture">
                                <pic:nvPicPr>
                                  <pic:cNvPr id="6"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8480" behindDoc="0" locked="1" layoutInCell="1" allowOverlap="1" wp14:anchorId="6D420CD9" wp14:editId="19F3D593">
              <wp:simplePos x="0" y="0"/>
              <wp:positionH relativeFrom="page">
                <wp:posOffset>1007744</wp:posOffset>
              </wp:positionH>
              <wp:positionV relativeFrom="page">
                <wp:posOffset>1691639</wp:posOffset>
              </wp:positionV>
              <wp:extent cx="3563620" cy="143510"/>
              <wp:effectExtent l="0" t="0" r="0" b="0"/>
              <wp:wrapNone/>
              <wp:docPr id="7"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rsidR="00EB0DB6" w:rsidRDefault="00AF0E95">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6D420CD9" id="Retourregel_2" o:spid="_x0000_s1035" type="#_x0000_t202" style="position:absolute;margin-left:79.35pt;margin-top:133.2pt;width:280.6pt;height:11.3pt;z-index:25166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" filled="f" stroked="f">
              <v:textbox inset="0,0,0,0">
                <w:txbxContent>
                  <w:p w:rsidR="00EB0DB6" w:rsidRDefault="00AF0E95">
                    <w:pPr>
                      <w:pStyle w:val="Referentiegegevens"/>
                    </w:pPr>
                    <w:r>
                      <w:t>&gt; Retouradres Postbus 20901 2500 EX  Den Haag</w:t>
                    </w:r>
                  </w:p>
                </w:txbxContent>
              </v:textbox>
              <w10:wrap anchorx="page" anchory="page"/>
              <w10:anchorlock/>
            </v:shape>
          </w:pict>
        </mc:Fallback>
      </mc:AlternateContent>
    </w:r>
    <w:r>
      <w:rPr>
        <w:noProof/>
      </w:rPr>
      <mc:AlternateContent>
        <mc:Choice Requires="wps">
          <w:drawing>
            <wp:anchor distT="0" distB="0" distL="0" distR="0" simplePos="0" relativeHeight="251669504" behindDoc="0" locked="1" layoutInCell="1" allowOverlap="1" wp14:anchorId="3A551BE1" wp14:editId="6E1B5868">
              <wp:simplePos x="0" y="0"/>
              <wp:positionH relativeFrom="page">
                <wp:posOffset>1007744</wp:posOffset>
              </wp:positionH>
              <wp:positionV relativeFrom="page">
                <wp:posOffset>1943735</wp:posOffset>
              </wp:positionV>
              <wp:extent cx="3491865" cy="1079500"/>
              <wp:effectExtent l="0" t="0" r="0" b="0"/>
              <wp:wrapNone/>
              <wp:docPr id="8"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rsidR="00EB0DB6" w:rsidRPr="00FA66A6" w:rsidRDefault="00AF0E95">
                          <w:pPr>
                            <w:rPr>
                              <w:lang w:val="nl-NL"/>
                            </w:rPr>
                          </w:pPr>
                          <w:r w:rsidRPr="00FA66A6">
                            <w:rPr>
                              <w:lang w:val="nl-NL"/>
                            </w:rPr>
                            <w:t>De voorzitter van de Tweede Kamer</w:t>
                          </w:r>
                          <w:r w:rsidRPr="00FA66A6">
                            <w:rPr>
                              <w:lang w:val="nl-NL"/>
                            </w:rPr>
                            <w:br/>
                            <w:t>der Staten-Generaal</w:t>
                          </w:r>
                          <w:r w:rsidRPr="00FA66A6">
                            <w:rPr>
                              <w:lang w:val="nl-NL"/>
                            </w:rPr>
                            <w:br/>
                            <w:t>Binnenhof 4</w:t>
                          </w:r>
                          <w:r w:rsidRPr="00FA66A6">
                            <w:rPr>
                              <w:lang w:val="nl-NL"/>
                            </w:rPr>
                            <w:br/>
                            <w:t>2513 AA  DEN HAAG</w:t>
                          </w:r>
                        </w:p>
                      </w:txbxContent>
                    </wps:txbx>
                    <wps:bodyPr vert="horz" wrap="square" lIns="0" tIns="0" rIns="0" bIns="0" anchor="t" anchorCtr="0"/>
                  </wps:wsp>
                </a:graphicData>
              </a:graphic>
            </wp:anchor>
          </w:drawing>
        </mc:Choice>
        <mc:Fallback>
          <w:pict>
            <v:shape w14:anchorId="3A551BE1" id="Toezendgegevens_2" o:spid="_x0000_s1036" type="#_x0000_t202" style="position:absolute;margin-left:79.35pt;margin-top:153.05pt;width:274.95pt;height:85pt;z-index:25166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" filled="f" stroked="f">
              <v:textbox inset="0,0,0,0">
                <w:txbxContent>
                  <w:p w:rsidR="00EB0DB6" w:rsidRPr="00FA66A6" w:rsidRDefault="00AF0E95">
                    <w:pPr>
                      <w:rPr>
                        <w:lang w:val="nl-NL"/>
                      </w:rPr>
                    </w:pPr>
                    <w:r w:rsidRPr="00FA66A6">
                      <w:rPr>
                        <w:lang w:val="nl-NL"/>
                      </w:rPr>
                      <w:t>De voorzitter van de Tweede Kamer</w:t>
                    </w:r>
                    <w:r w:rsidRPr="00FA66A6">
                      <w:rPr>
                        <w:lang w:val="nl-NL"/>
                      </w:rPr>
                      <w:br/>
                      <w:t>der Staten-Generaal</w:t>
                    </w:r>
                    <w:r w:rsidRPr="00FA66A6">
                      <w:rPr>
                        <w:lang w:val="nl-NL"/>
                      </w:rPr>
                      <w:br/>
                      <w:t>Binnenhof 4</w:t>
                    </w:r>
                    <w:r w:rsidRPr="00FA66A6">
                      <w:rPr>
                        <w:lang w:val="nl-NL"/>
                      </w:rPr>
                      <w:br/>
                      <w:t>2513 AA  DEN HAAG</w:t>
                    </w:r>
                  </w:p>
                </w:txbxContent>
              </v:textbox>
              <w10:wrap anchorx="page" anchory="page"/>
              <w10:anchorlock/>
            </v:shape>
          </w:pict>
        </mc:Fallback>
      </mc:AlternateContent>
    </w:r>
    <w:r>
      <w:rPr>
        <w:noProof/>
      </w:rPr>
      <mc:AlternateContent>
        <mc:Choice Requires="wps">
          <w:drawing>
            <wp:anchor distT="0" distB="0" distL="0" distR="0" simplePos="0" relativeHeight="251670528" behindDoc="0" locked="1" layoutInCell="1" allowOverlap="1" wp14:anchorId="2A1B8D89" wp14:editId="7E118F11">
              <wp:simplePos x="0" y="0"/>
              <wp:positionH relativeFrom="page">
                <wp:posOffset>1007744</wp:posOffset>
              </wp:positionH>
              <wp:positionV relativeFrom="page">
                <wp:posOffset>3635375</wp:posOffset>
              </wp:positionV>
              <wp:extent cx="4105275" cy="629920"/>
              <wp:effectExtent l="0" t="0" r="0" b="0"/>
              <wp:wrapNone/>
              <wp:docPr id="9"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EB0DB6">
                            <w:trPr>
                              <w:trHeight w:val="200"/>
                            </w:trPr>
                            <w:tc>
                              <w:tcPr>
                                <w:tcW w:w="1140" w:type="dxa"/>
                              </w:tcPr>
                              <w:p w:rsidR="00EB0DB6" w:rsidRDefault="001329AE"/>
                            </w:tc>
                            <w:tc>
                              <w:tcPr>
                                <w:tcW w:w="5400" w:type="dxa"/>
                              </w:tcPr>
                              <w:p w:rsidR="00EB0DB6" w:rsidRDefault="001329AE"/>
                            </w:tc>
                          </w:tr>
                          <w:tr w:rsidR="00EB0DB6">
                            <w:trPr>
                              <w:trHeight w:val="240"/>
                            </w:trPr>
                            <w:tc>
                              <w:tcPr>
                                <w:tcW w:w="1140" w:type="dxa"/>
                              </w:tcPr>
                              <w:p w:rsidR="00EB0DB6" w:rsidRDefault="00AF0E95" w:rsidP="00617F0D">
                                <w:pPr>
                                  <w:spacing w:after="0"/>
                                </w:pPr>
                                <w:r>
                                  <w:t>Datum</w:t>
                                </w:r>
                              </w:p>
                            </w:tc>
                            <w:tc>
                              <w:tcPr>
                                <w:tcW w:w="5400" w:type="dxa"/>
                              </w:tcPr>
                              <w:p w:rsidR="00EB0DB6" w:rsidRDefault="00235D29" w:rsidP="00617F0D">
                                <w:pPr>
                                  <w:spacing w:after="0"/>
                                </w:pPr>
                                <w:r>
                                  <w:t xml:space="preserve">19 </w:t>
                                </w:r>
                                <w:proofErr w:type="spellStart"/>
                                <w:r>
                                  <w:t>juni</w:t>
                                </w:r>
                                <w:proofErr w:type="spellEnd"/>
                                <w:r>
                                  <w:t xml:space="preserve"> 2020</w:t>
                                </w:r>
                              </w:p>
                            </w:tc>
                          </w:tr>
                          <w:tr w:rsidR="00EB0DB6">
                            <w:trPr>
                              <w:trHeight w:val="240"/>
                            </w:trPr>
                            <w:tc>
                              <w:tcPr>
                                <w:tcW w:w="1140" w:type="dxa"/>
                              </w:tcPr>
                              <w:p w:rsidR="00EB0DB6" w:rsidRDefault="00AF0E95" w:rsidP="00617F0D">
                                <w:pPr>
                                  <w:spacing w:after="0"/>
                                </w:pPr>
                                <w:proofErr w:type="spellStart"/>
                                <w:r>
                                  <w:t>Betreft</w:t>
                                </w:r>
                                <w:proofErr w:type="spellEnd"/>
                              </w:p>
                            </w:tc>
                            <w:tc>
                              <w:tcPr>
                                <w:tcW w:w="5400" w:type="dxa"/>
                              </w:tcPr>
                              <w:p w:rsidR="00EB0DB6" w:rsidRDefault="001915DD" w:rsidP="00617F0D">
                                <w:pPr>
                                  <w:spacing w:after="0"/>
                                </w:pPr>
                                <w:proofErr w:type="spellStart"/>
                                <w:r>
                                  <w:t>A</w:t>
                                </w:r>
                                <w:r w:rsidR="00AF0E95">
                                  <w:t>kkoord</w:t>
                                </w:r>
                                <w:proofErr w:type="spellEnd"/>
                                <w:r w:rsidR="00AF0E95">
                                  <w:t xml:space="preserve"> voor de Noordzee</w:t>
                                </w:r>
                              </w:p>
                            </w:tc>
                          </w:tr>
                          <w:tr w:rsidR="00EB0DB6">
                            <w:trPr>
                              <w:trHeight w:val="200"/>
                            </w:trPr>
                            <w:tc>
                              <w:tcPr>
                                <w:tcW w:w="1140" w:type="dxa"/>
                              </w:tcPr>
                              <w:p w:rsidR="00EB0DB6" w:rsidRDefault="001329AE"/>
                            </w:tc>
                            <w:tc>
                              <w:tcPr>
                                <w:tcW w:w="5400" w:type="dxa"/>
                              </w:tcPr>
                              <w:p w:rsidR="00EB0DB6" w:rsidRDefault="001329AE"/>
                            </w:tc>
                          </w:tr>
                        </w:tbl>
                        <w:p w:rsidR="00EB0DB6" w:rsidRDefault="001329AE"/>
                      </w:txbxContent>
                    </wps:txbx>
                    <wps:bodyPr vert="horz" wrap="square" lIns="0" tIns="0" rIns="0" bIns="0" anchor="t" anchorCtr="0"/>
                  </wps:wsp>
                </a:graphicData>
              </a:graphic>
            </wp:anchor>
          </w:drawing>
        </mc:Choice>
        <mc:Fallback>
          <w:pict>
            <v:shapetype w14:anchorId="2A1B8D89" id="_x0000_t202" coordsize="21600,21600" o:spt="202" path="m,l,21600r21600,l21600,xe">
              <v:stroke joinstyle="miter"/>
              <v:path gradientshapeok="t" o:connecttype="rect"/>
            </v:shapetype>
            <v:shape id="Documentgegevens" o:spid="_x0000_s1037" type="#_x0000_t202" style="position:absolute;margin-left:79.35pt;margin-top:286.25pt;width:323.25pt;height:49.6pt;z-index:25167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" filled="f" stroked="f">
              <v:textbox inset="0,0,0,0">
                <w:txbxContent>
                  <w:tbl>
                    <w:tblPr>
                      <w:tblW w:w="0" w:type="auto"/>
                      <w:tblLayout w:type="fixed"/>
                      <w:tblLook w:val="07E0" w:firstRow="1" w:lastRow="1" w:firstColumn="1" w:lastColumn="1" w:noHBand="1" w:noVBand="1"/>
                    </w:tblPr>
                    <w:tblGrid>
                      <w:gridCol w:w="1140"/>
                      <w:gridCol w:w="5400"/>
                    </w:tblGrid>
                    <w:tr w:rsidR="00EB0DB6">
                      <w:trPr>
                        <w:trHeight w:val="200"/>
                      </w:trPr>
                      <w:tc>
                        <w:tcPr>
                          <w:tcW w:w="1140" w:type="dxa"/>
                        </w:tcPr>
                        <w:p w:rsidR="00EB0DB6" w:rsidRDefault="001329AE"/>
                      </w:tc>
                      <w:tc>
                        <w:tcPr>
                          <w:tcW w:w="5400" w:type="dxa"/>
                        </w:tcPr>
                        <w:p w:rsidR="00EB0DB6" w:rsidRDefault="001329AE"/>
                      </w:tc>
                    </w:tr>
                    <w:tr w:rsidR="00EB0DB6">
                      <w:trPr>
                        <w:trHeight w:val="240"/>
                      </w:trPr>
                      <w:tc>
                        <w:tcPr>
                          <w:tcW w:w="1140" w:type="dxa"/>
                        </w:tcPr>
                        <w:p w:rsidR="00EB0DB6" w:rsidRDefault="00AF0E95" w:rsidP="00617F0D">
                          <w:pPr>
                            <w:spacing w:after="0"/>
                          </w:pPr>
                          <w:r>
                            <w:t>Datum</w:t>
                          </w:r>
                        </w:p>
                      </w:tc>
                      <w:tc>
                        <w:tcPr>
                          <w:tcW w:w="5400" w:type="dxa"/>
                        </w:tcPr>
                        <w:p w:rsidR="00EB0DB6" w:rsidRDefault="00235D29" w:rsidP="00617F0D">
                          <w:pPr>
                            <w:spacing w:after="0"/>
                          </w:pPr>
                          <w:r>
                            <w:t xml:space="preserve">19 </w:t>
                          </w:r>
                          <w:proofErr w:type="spellStart"/>
                          <w:r>
                            <w:t>juni</w:t>
                          </w:r>
                          <w:proofErr w:type="spellEnd"/>
                          <w:r>
                            <w:t xml:space="preserve"> 2020</w:t>
                          </w:r>
                        </w:p>
                      </w:tc>
                    </w:tr>
                    <w:tr w:rsidR="00EB0DB6">
                      <w:trPr>
                        <w:trHeight w:val="240"/>
                      </w:trPr>
                      <w:tc>
                        <w:tcPr>
                          <w:tcW w:w="1140" w:type="dxa"/>
                        </w:tcPr>
                        <w:p w:rsidR="00EB0DB6" w:rsidRDefault="00AF0E95" w:rsidP="00617F0D">
                          <w:pPr>
                            <w:spacing w:after="0"/>
                          </w:pPr>
                          <w:proofErr w:type="spellStart"/>
                          <w:r>
                            <w:t>Betreft</w:t>
                          </w:r>
                          <w:proofErr w:type="spellEnd"/>
                        </w:p>
                      </w:tc>
                      <w:tc>
                        <w:tcPr>
                          <w:tcW w:w="5400" w:type="dxa"/>
                        </w:tcPr>
                        <w:p w:rsidR="00EB0DB6" w:rsidRDefault="001915DD" w:rsidP="00617F0D">
                          <w:pPr>
                            <w:spacing w:after="0"/>
                          </w:pPr>
                          <w:proofErr w:type="spellStart"/>
                          <w:r>
                            <w:t>A</w:t>
                          </w:r>
                          <w:r w:rsidR="00AF0E95">
                            <w:t>kkoord</w:t>
                          </w:r>
                          <w:proofErr w:type="spellEnd"/>
                          <w:r w:rsidR="00AF0E95">
                            <w:t xml:space="preserve"> voor de Noordzee</w:t>
                          </w:r>
                        </w:p>
                      </w:tc>
                    </w:tr>
                    <w:tr w:rsidR="00EB0DB6">
                      <w:trPr>
                        <w:trHeight w:val="200"/>
                      </w:trPr>
                      <w:tc>
                        <w:tcPr>
                          <w:tcW w:w="1140" w:type="dxa"/>
                        </w:tcPr>
                        <w:p w:rsidR="00EB0DB6" w:rsidRDefault="001329AE"/>
                      </w:tc>
                      <w:tc>
                        <w:tcPr>
                          <w:tcW w:w="5400" w:type="dxa"/>
                        </w:tcPr>
                        <w:p w:rsidR="00EB0DB6" w:rsidRDefault="001329AE"/>
                      </w:tc>
                    </w:tr>
                  </w:tbl>
                  <w:p w:rsidR="00EB0DB6" w:rsidRDefault="001329AE"/>
                </w:txbxContent>
              </v:textbox>
              <w10:wrap anchorx="page" anchory="page"/>
              <w10:anchorlock/>
            </v:shape>
          </w:pict>
        </mc:Fallback>
      </mc:AlternateContent>
    </w:r>
    <w:r>
      <w:rPr>
        <w:noProof/>
      </w:rPr>
      <mc:AlternateContent>
        <mc:Choice Requires="wps">
          <w:drawing>
            <wp:anchor distT="0" distB="0" distL="0" distR="0" simplePos="0" relativeHeight="251671552" behindDoc="0" locked="1" layoutInCell="1" allowOverlap="1" wp14:anchorId="02AA7844" wp14:editId="60D46A32">
              <wp:simplePos x="0" y="0"/>
              <wp:positionH relativeFrom="page">
                <wp:posOffset>1007744</wp:posOffset>
              </wp:positionH>
              <wp:positionV relativeFrom="page">
                <wp:posOffset>1199515</wp:posOffset>
              </wp:positionV>
              <wp:extent cx="2381250" cy="285750"/>
              <wp:effectExtent l="0" t="0" r="0" b="0"/>
              <wp:wrapNone/>
              <wp:docPr id="10"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rsidR="00EB0DB6" w:rsidRDefault="001329AE"/>
                      </w:txbxContent>
                    </wps:txbx>
                    <wps:bodyPr vert="horz" wrap="square" lIns="0" tIns="0" rIns="0" bIns="0" anchor="t" anchorCtr="0"/>
                  </wps:wsp>
                </a:graphicData>
              </a:graphic>
            </wp:anchor>
          </w:drawing>
        </mc:Choice>
        <mc:Fallback>
          <w:pict>
            <v:shape w14:anchorId="02AA7844" id="Merking" o:spid="_x0000_s1038" type="#_x0000_t202" style="position:absolute;margin-left:79.35pt;margin-top:94.45pt;width:187.5pt;height:22.5pt;z-index:251671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" filled="f" stroked="f">
              <v:textbox inset="0,0,0,0">
                <w:txbxContent>
                  <w:p w:rsidR="00EB0DB6" w:rsidRDefault="00AF0E95"/>
                </w:txbxContent>
              </v:textbox>
              <w10:wrap anchorx="page" anchory="page"/>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6A6"/>
    <w:rsid w:val="000A607C"/>
    <w:rsid w:val="001329AE"/>
    <w:rsid w:val="00142AE6"/>
    <w:rsid w:val="00172DD4"/>
    <w:rsid w:val="001915DD"/>
    <w:rsid w:val="001E4B14"/>
    <w:rsid w:val="001E6A24"/>
    <w:rsid w:val="00235D29"/>
    <w:rsid w:val="002A416E"/>
    <w:rsid w:val="00542834"/>
    <w:rsid w:val="00617F0D"/>
    <w:rsid w:val="00653373"/>
    <w:rsid w:val="006F0FAB"/>
    <w:rsid w:val="007616A3"/>
    <w:rsid w:val="007C742C"/>
    <w:rsid w:val="008E1E40"/>
    <w:rsid w:val="009455DF"/>
    <w:rsid w:val="009513A4"/>
    <w:rsid w:val="00AF0E95"/>
    <w:rsid w:val="00B06701"/>
    <w:rsid w:val="00B274C3"/>
    <w:rsid w:val="00B750B1"/>
    <w:rsid w:val="00C61E3C"/>
    <w:rsid w:val="00C63F32"/>
    <w:rsid w:val="00D17F15"/>
    <w:rsid w:val="00D41F5C"/>
    <w:rsid w:val="00D52665"/>
    <w:rsid w:val="00D8189A"/>
    <w:rsid w:val="00D969A6"/>
    <w:rsid w:val="00E24BF2"/>
    <w:rsid w:val="00E336F7"/>
    <w:rsid w:val="00E360AA"/>
    <w:rsid w:val="00E74686"/>
    <w:rsid w:val="00EF70CD"/>
    <w:rsid w:val="00FA66A6"/>
    <w:rsid w:val="00FE7A06"/>
    <w:rsid w:val="00FF1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B07FCC-87A7-4E3D-B277-2F45E10CB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rsid w:val="00FA66A6"/>
    <w:pPr>
      <w:autoSpaceDN w:val="0"/>
      <w:spacing w:after="0" w:line="240" w:lineRule="auto"/>
      <w:textAlignment w:val="baseline"/>
    </w:pPr>
    <w:rPr>
      <w:rFonts w:ascii="Times New Roman" w:eastAsia="DejaVu Sans" w:hAnsi="Times New Roman" w:cs="Lohit Hindi"/>
      <w:sz w:val="20"/>
      <w:szCs w:val="20"/>
      <w:lang w:val="nl-NL" w:eastAsia="nl-NL"/>
    </w:rPr>
  </w:style>
  <w:style w:type="paragraph" w:customStyle="1" w:styleId="Afzendgegevens">
    <w:name w:val="Afzendgegevens"/>
    <w:basedOn w:val="Standaard"/>
    <w:next w:val="Standaard"/>
    <w:rsid w:val="00FA66A6"/>
    <w:pPr>
      <w:tabs>
        <w:tab w:val="left" w:pos="2267"/>
      </w:tabs>
      <w:autoSpaceDN w:val="0"/>
      <w:spacing w:after="0" w:line="180" w:lineRule="exact"/>
      <w:textAlignment w:val="baseline"/>
    </w:pPr>
    <w:rPr>
      <w:rFonts w:eastAsia="DejaVu Sans" w:cs="Lohit Hindi"/>
      <w:color w:val="000000"/>
      <w:sz w:val="13"/>
      <w:szCs w:val="13"/>
      <w:lang w:val="nl-NL" w:eastAsia="nl-NL"/>
    </w:rPr>
  </w:style>
  <w:style w:type="paragraph" w:customStyle="1" w:styleId="AfzendgegevensKop">
    <w:name w:val="Afzendgegevens_Kop"/>
    <w:basedOn w:val="Afzendgegevens"/>
    <w:next w:val="Standaard"/>
    <w:rsid w:val="00FA66A6"/>
    <w:rPr>
      <w:b/>
    </w:rPr>
  </w:style>
  <w:style w:type="paragraph" w:customStyle="1" w:styleId="Referentiegegevens">
    <w:name w:val="Referentiegegevens"/>
    <w:next w:val="Standaard"/>
    <w:rsid w:val="00FA66A6"/>
    <w:pPr>
      <w:tabs>
        <w:tab w:val="left" w:pos="170"/>
      </w:tabs>
      <w:autoSpaceDN w:val="0"/>
      <w:spacing w:after="0" w:line="180" w:lineRule="exact"/>
      <w:textAlignment w:val="baseline"/>
    </w:pPr>
    <w:rPr>
      <w:rFonts w:eastAsia="DejaVu Sans" w:cs="Lohit Hindi"/>
      <w:color w:val="000000"/>
      <w:sz w:val="13"/>
      <w:szCs w:val="13"/>
      <w:lang w:val="nl-NL" w:eastAsia="nl-NL"/>
    </w:rPr>
  </w:style>
  <w:style w:type="paragraph" w:customStyle="1" w:styleId="Referentiegegevenskop">
    <w:name w:val="Referentiegegevens_kop"/>
    <w:basedOn w:val="Standaard"/>
    <w:next w:val="Standaard"/>
    <w:rsid w:val="00FA66A6"/>
    <w:pPr>
      <w:autoSpaceDN w:val="0"/>
      <w:spacing w:after="0" w:line="180" w:lineRule="exact"/>
      <w:textAlignment w:val="baseline"/>
    </w:pPr>
    <w:rPr>
      <w:rFonts w:eastAsia="DejaVu Sans" w:cs="Lohit Hindi"/>
      <w:b/>
      <w:color w:val="000000"/>
      <w:sz w:val="13"/>
      <w:szCs w:val="13"/>
      <w:lang w:val="nl-NL" w:eastAsia="nl-NL"/>
    </w:rPr>
  </w:style>
  <w:style w:type="paragraph" w:customStyle="1" w:styleId="WitregelW1">
    <w:name w:val="Witregel W1"/>
    <w:next w:val="Standaard"/>
    <w:rsid w:val="00FA66A6"/>
    <w:pPr>
      <w:autoSpaceDN w:val="0"/>
      <w:spacing w:after="0" w:line="90" w:lineRule="exact"/>
      <w:textAlignment w:val="baseline"/>
    </w:pPr>
    <w:rPr>
      <w:rFonts w:eastAsia="DejaVu Sans" w:cs="Lohit Hindi"/>
      <w:color w:val="000000"/>
      <w:sz w:val="9"/>
      <w:szCs w:val="9"/>
      <w:lang w:val="nl-NL" w:eastAsia="nl-NL"/>
    </w:rPr>
  </w:style>
  <w:style w:type="paragraph" w:customStyle="1" w:styleId="WitregelW2">
    <w:name w:val="Witregel W2"/>
    <w:next w:val="Standaard"/>
    <w:rsid w:val="00FA66A6"/>
    <w:pPr>
      <w:autoSpaceDN w:val="0"/>
      <w:spacing w:after="0" w:line="270" w:lineRule="exact"/>
      <w:textAlignment w:val="baseline"/>
    </w:pPr>
    <w:rPr>
      <w:rFonts w:eastAsia="DejaVu Sans" w:cs="Lohit Hindi"/>
      <w:color w:val="000000"/>
      <w:sz w:val="27"/>
      <w:szCs w:val="27"/>
      <w:lang w:val="nl-NL" w:eastAsia="nl-NL"/>
    </w:rPr>
  </w:style>
  <w:style w:type="paragraph" w:styleId="Voetnoottekst">
    <w:name w:val="footnote text"/>
    <w:basedOn w:val="Standaard"/>
    <w:link w:val="VoetnoottekstChar"/>
    <w:uiPriority w:val="99"/>
    <w:unhideWhenUsed/>
    <w:rsid w:val="00FA66A6"/>
    <w:pPr>
      <w:autoSpaceDN w:val="0"/>
      <w:spacing w:after="0" w:line="240" w:lineRule="auto"/>
      <w:textAlignment w:val="baseline"/>
    </w:pPr>
    <w:rPr>
      <w:rFonts w:eastAsia="DejaVu Sans" w:cs="Lohit Hindi"/>
      <w:color w:val="000000"/>
      <w:sz w:val="20"/>
      <w:szCs w:val="20"/>
      <w:lang w:val="nl-NL" w:eastAsia="nl-NL"/>
    </w:rPr>
  </w:style>
  <w:style w:type="character" w:customStyle="1" w:styleId="VoetnoottekstChar">
    <w:name w:val="Voetnoottekst Char"/>
    <w:basedOn w:val="Standaardalinea-lettertype"/>
    <w:link w:val="Voetnoottekst"/>
    <w:uiPriority w:val="99"/>
    <w:rsid w:val="00FA66A6"/>
    <w:rPr>
      <w:rFonts w:eastAsia="DejaVu Sans" w:cs="Lohit Hindi"/>
      <w:color w:val="000000"/>
      <w:sz w:val="20"/>
      <w:szCs w:val="20"/>
      <w:lang w:val="nl-NL" w:eastAsia="nl-NL"/>
    </w:rPr>
  </w:style>
  <w:style w:type="character" w:styleId="Voetnootmarkering">
    <w:name w:val="footnote reference"/>
    <w:basedOn w:val="Standaardalinea-lettertype"/>
    <w:uiPriority w:val="99"/>
    <w:semiHidden/>
    <w:unhideWhenUsed/>
    <w:rsid w:val="00FA66A6"/>
    <w:rPr>
      <w:vertAlign w:val="superscript"/>
    </w:rPr>
  </w:style>
  <w:style w:type="paragraph" w:styleId="Koptekst">
    <w:name w:val="header"/>
    <w:basedOn w:val="Standaard"/>
    <w:link w:val="KoptekstChar"/>
    <w:uiPriority w:val="99"/>
    <w:unhideWhenUsed/>
    <w:rsid w:val="002A41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A416E"/>
  </w:style>
  <w:style w:type="paragraph" w:styleId="Voettekst">
    <w:name w:val="footer"/>
    <w:basedOn w:val="Standaard"/>
    <w:link w:val="VoettekstChar"/>
    <w:uiPriority w:val="99"/>
    <w:unhideWhenUsed/>
    <w:rsid w:val="002A41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A4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3BF7C3AC120A4B977ABEF9181C00BC" ma:contentTypeVersion="0" ma:contentTypeDescription="Een nieuw document maken." ma:contentTypeScope="" ma:versionID="e5f197dee18357dd58f0e0a7d1ef795d">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316839-4604-4965-870F-E6493274EC6D}">
  <ds:schemaRefs>
    <ds:schemaRef ds:uri="http://schemas.microsoft.com/sharepoint/v3/contenttype/forms"/>
  </ds:schemaRefs>
</ds:datastoreItem>
</file>

<file path=customXml/itemProps2.xml><?xml version="1.0" encoding="utf-8"?>
<ds:datastoreItem xmlns:ds="http://schemas.openxmlformats.org/officeDocument/2006/customXml" ds:itemID="{F06B1CEE-86ED-4C36-A7E1-B77A1E992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2F73AB8-54A2-4823-86D8-269DBBE0D4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977</Words>
  <Characters>5375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Verroen VisNed</dc:creator>
  <cp:keywords/>
  <dc:description/>
  <cp:lastModifiedBy>S. Verroen | VisNed.nl</cp:lastModifiedBy>
  <cp:revision>2</cp:revision>
  <dcterms:created xsi:type="dcterms:W3CDTF">2020-07-09T15:36:00Z</dcterms:created>
  <dcterms:modified xsi:type="dcterms:W3CDTF">2020-07-09T15:36:00Z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0x0101002D3BF7C3AC120A4B977ABEF9181C00BC</vt:lpwstr>
  </property>
</Properties>
</file>